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9AC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/>
        <w:jc w:val="center"/>
        <w:textAlignment w:val="baseline"/>
        <w:rPr>
          <w:rFonts w:hint="eastAsia" w:ascii="CESI小标宋-GB2312" w:hAnsi="微软雅黑" w:eastAsia="CESI小标宋-GB2312" w:cs="CESI小标宋-GB2312"/>
          <w:spacing w:val="-1"/>
          <w:sz w:val="43"/>
          <w:szCs w:val="43"/>
        </w:rPr>
      </w:pPr>
      <w:bookmarkStart w:id="1" w:name="_GoBack"/>
      <w:bookmarkEnd w:id="1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-535305</wp:posOffset>
                </wp:positionV>
                <wp:extent cx="1285875" cy="4826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11BC"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5pt;margin-top:-42.15pt;height:38pt;width:101.25pt;z-index:251659264;mso-width-relative:page;mso-height-relative:page;" filled="f" stroked="f" coordsize="21600,21600" o:gfxdata="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IobYfYAAAACQEAAA8AAAAAAAAAAQAgAAAAIgAAAGRycy9k&#10;b3ducmV2LnhtbFBLAQIUABQAAAAIAIdO4kB9EoBHOwIAAGYEAAAOAAAAAAAAAAEAIAAAACc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F011BC"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2025年全民健身活动</w:t>
      </w:r>
      <w:bookmarkStart w:id="0" w:name="bookmark22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熔断机制</w:t>
      </w:r>
    </w:p>
    <w:p w14:paraId="3657FF3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</w:pPr>
    </w:p>
    <w:p w14:paraId="32D528F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按照国家体育总局《关于建立健全体育赛事活动“熔断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”机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制的通知》（体规字〔2022〕3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号）要求，依据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《中华人民共和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国突发事件应对法》相关规定，特建立本次赛事活动的“熔断”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机制。</w:t>
      </w:r>
    </w:p>
    <w:p w14:paraId="5D531B1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72" w:firstLineChars="200"/>
        <w:jc w:val="both"/>
        <w:textAlignment w:val="baseline"/>
        <w:rPr>
          <w:rFonts w:hint="eastAsia" w:ascii="CESI黑体-GB2312" w:hAnsi="黑体" w:eastAsia="CESI黑体-GB2312" w:cs="CESI黑体-GB2312"/>
          <w:sz w:val="32"/>
          <w:szCs w:val="32"/>
        </w:rPr>
      </w:pPr>
      <w:r>
        <w:rPr>
          <w:rFonts w:hint="eastAsia" w:ascii="CESI黑体-GB2312" w:hAnsi="黑体" w:eastAsia="CESI黑体-GB2312" w:cs="CESI黑体-GB2312"/>
          <w:spacing w:val="8"/>
          <w:sz w:val="32"/>
          <w:szCs w:val="32"/>
        </w:rPr>
        <w:t>一、“熔断”机制启动条件</w:t>
      </w:r>
    </w:p>
    <w:p w14:paraId="245690D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当本次活动举办期间，遇有以下直接或可能与本次活动举办相关联的突发情形之一的，本次活动组织者将启动“熔断”机制：</w:t>
      </w:r>
    </w:p>
    <w:p w14:paraId="2F791C4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（一）自然灾害，包括水旱灾害、气象灾害、地震灾害、地 质灾害、海洋灾害、生物灾害和森林草原火灾等；</w:t>
      </w:r>
    </w:p>
    <w:p w14:paraId="5D69FA3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（二）事故灾难，包括各类安全事故、交通运输事故、公共 体育设施和设备事故、环境污染和生态破坏事件等；</w:t>
      </w:r>
    </w:p>
    <w:p w14:paraId="526ACC4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（三）公共卫生事件，包括传染病疫情、群体性不明原因疾 病、食品安全和职业危害、动物疫情以及其他严重影响公众健康和生命安全的事件；</w:t>
      </w:r>
    </w:p>
    <w:p w14:paraId="7D43238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（四）社会安全事件，包括恐怖袭击事件、经济安全事件和涉外突发事件等；</w:t>
      </w:r>
    </w:p>
    <w:p w14:paraId="1EE2DD9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（五）其他可能导致不再具备办赛条件的情形。</w:t>
      </w:r>
    </w:p>
    <w:p w14:paraId="6DA7400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72" w:firstLineChars="200"/>
        <w:jc w:val="both"/>
        <w:textAlignment w:val="baseline"/>
        <w:rPr>
          <w:rFonts w:hint="eastAsia" w:ascii="CESI黑体-GB2312" w:hAnsi="黑体" w:eastAsia="CESI黑体-GB2312" w:cs="CESI黑体-GB2312"/>
          <w:spacing w:val="8"/>
          <w:sz w:val="32"/>
          <w:szCs w:val="32"/>
        </w:rPr>
      </w:pPr>
      <w:r>
        <w:rPr>
          <w:rFonts w:hint="eastAsia" w:ascii="CESI黑体-GB2312" w:hAnsi="黑体" w:eastAsia="CESI黑体-GB2312" w:cs="CESI黑体-GB2312"/>
          <w:spacing w:val="8"/>
          <w:sz w:val="32"/>
          <w:szCs w:val="32"/>
        </w:rPr>
        <w:t>二、“熔断”机制启动程序</w:t>
      </w:r>
    </w:p>
    <w:p w14:paraId="3B6BA8D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本次活动组织方将密切关注气象、水利、地震、自然资源、交通运输、卫生健康、应急等部门发出的预警信息及有关灾害、事故信息，加强防范，及时启动“熔断”机制。</w:t>
      </w:r>
    </w:p>
    <w:p w14:paraId="379A720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1.群体性体育活动举办中出现符合“熔断”启动时机所列任一情形的，活动工作负责人或领导工作小组要结合实际情况，及时提出启动“熔断”机制建议，本次活动组织方应当立即做出是否中止活动的决定。</w:t>
      </w:r>
    </w:p>
    <w:p w14:paraId="6AD4D51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2.如本次活动承办方犹豫不决或拒不采纳启动“熔断”机制建议的，社区、街道负责人有权直接向所在地体育部门报告。由地方体育部门做出是否中止比赛的决定。</w:t>
      </w:r>
    </w:p>
    <w:p w14:paraId="6F92DCB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3.本次活动组织者将自觉接受社会监督，接到有关群体性体育活动存在风险隐患的群众反映后，应迅速了解情况展开研判，及时作出是否中止活动的决定。</w:t>
      </w:r>
    </w:p>
    <w:p w14:paraId="4144CB2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7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CESI黑体-GB2312" w:hAnsi="黑体" w:eastAsia="CESI黑体-GB2312" w:cs="CESI黑体-GB2312"/>
          <w:spacing w:val="8"/>
          <w:sz w:val="32"/>
          <w:szCs w:val="32"/>
        </w:rPr>
        <w:t>三、处置措施及法律后果</w:t>
      </w:r>
    </w:p>
    <w:p w14:paraId="7E464E4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leftChars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启动“熔断”机制后，活动承办单位将和活动承办单位、上级体育部门就活动场地、规模、环境等特点和条件，适时在同级人民政府的领导下，会同公安、卫生健康、应急、市场监管等部门做好应急处置工作，疏散、撤离并妥善安置和救助现场人员。出现人员伤亡的，应立即组织救援和救治，做好后续处置工作，并采取措施防范次生灾害和衍生事件发生。要及时通过官方途径发布相关活动动态信息，做好舆情引导。</w:t>
      </w:r>
    </w:p>
    <w:p w14:paraId="20E67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1B"/>
    <w:rsid w:val="006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2025-03-03T06:35:00Z</dcterms:created>
  <dc:creator>左</dc:creator>
  <cp:lastModifiedBy>左</cp:lastModifiedBy>
  <dcterms:modified xsi:type="dcterms:W3CDTF">2025-03-03T06:35:38Z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39BED52E8B2A42D9BDBAB124EDE35A94_11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