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5230" w:type="pct"/>
        <w:tblInd w:w="89" w:type="dxa"/>
        <w:tblLayout w:type="autofit"/>
        <w:tblCellMar>
          <w:top w:w="0" w:type="dxa"/>
          <w:left w:w="108" w:type="dxa"/>
          <w:bottom w:w="0" w:type="dxa"/>
          <w:right w:w="108" w:type="dxa"/>
        </w:tblCellMar>
      </w:tblPr>
      <w:tblGrid>
        <w:gridCol w:w="2708"/>
        <w:gridCol w:w="12118"/>
      </w:tblGrid>
      <w:tr w14:paraId="20792EE4">
        <w:tblPrEx>
          <w:tblCellMar>
            <w:top w:w="0" w:type="dxa"/>
            <w:left w:w="108" w:type="dxa"/>
            <w:bottom w:w="0" w:type="dxa"/>
            <w:right w:w="108" w:type="dxa"/>
          </w:tblCellMar>
        </w:tblPrEx>
        <w:trPr>
          <w:trHeight w:val="660" w:hRule="atLeast"/>
        </w:trPr>
        <w:tc>
          <w:tcPr>
            <w:tcW w:w="4747" w:type="pct"/>
            <w:gridSpan w:val="2"/>
            <w:tcBorders>
              <w:top w:val="nil"/>
              <w:left w:val="nil"/>
              <w:bottom w:val="nil"/>
              <w:right w:val="nil"/>
            </w:tcBorders>
            <w:noWrap w:val="0"/>
            <w:vAlign w:val="center"/>
          </w:tcPr>
          <w:p w14:paraId="6CE49E1F">
            <w:pPr>
              <w:widowControl/>
              <w:jc w:val="center"/>
              <w:rPr>
                <w:rFonts w:ascii="Times New Roman" w:hAnsi="Times New Roman"/>
                <w:b/>
                <w:bCs/>
                <w:color w:val="000000"/>
                <w:kern w:val="0"/>
                <w:sz w:val="48"/>
                <w:szCs w:val="48"/>
              </w:rPr>
            </w:pPr>
            <w:r>
              <w:rPr>
                <w:rFonts w:hint="eastAsia" w:ascii="方正小标宋简体" w:hAnsi="方正小标宋简体" w:eastAsia="方正小标宋简体" w:cs="方正小标宋简体"/>
                <w:color w:val="000000"/>
                <w:kern w:val="0"/>
                <w:sz w:val="44"/>
                <w:szCs w:val="44"/>
              </w:rPr>
              <w:t>繁峙县突发环境事件应急指挥部工作组组成及职责表</w:t>
            </w:r>
          </w:p>
        </w:tc>
      </w:tr>
      <w:tr w14:paraId="05616F03">
        <w:tblPrEx>
          <w:tblCellMar>
            <w:top w:w="0" w:type="dxa"/>
            <w:left w:w="108" w:type="dxa"/>
            <w:bottom w:w="0" w:type="dxa"/>
            <w:right w:w="108" w:type="dxa"/>
          </w:tblCellMar>
        </w:tblPrEx>
        <w:trPr>
          <w:trHeight w:val="555" w:hRule="atLeast"/>
          <w:tblHeader/>
        </w:trPr>
        <w:tc>
          <w:tcPr>
            <w:tcW w:w="867" w:type="pct"/>
            <w:tcBorders>
              <w:top w:val="single" w:color="auto" w:sz="4" w:space="0"/>
              <w:left w:val="single" w:color="auto" w:sz="4" w:space="0"/>
              <w:bottom w:val="single" w:color="auto" w:sz="4" w:space="0"/>
              <w:right w:val="single" w:color="auto" w:sz="4" w:space="0"/>
            </w:tcBorders>
            <w:noWrap w:val="0"/>
            <w:vAlign w:val="center"/>
          </w:tcPr>
          <w:p w14:paraId="18FED6B7">
            <w:pPr>
              <w:widowControl/>
              <w:jc w:val="center"/>
              <w:rPr>
                <w:rFonts w:ascii="Times New Roman" w:hAnsi="Times New Roman" w:eastAsia="黑体"/>
                <w:kern w:val="0"/>
                <w:sz w:val="28"/>
                <w:szCs w:val="28"/>
              </w:rPr>
            </w:pPr>
            <w:r>
              <w:rPr>
                <w:rFonts w:ascii="Times New Roman" w:hAnsi="Times New Roman" w:eastAsia="黑体"/>
                <w:kern w:val="0"/>
                <w:sz w:val="28"/>
                <w:szCs w:val="28"/>
              </w:rPr>
              <w:t>工作组组成</w:t>
            </w:r>
          </w:p>
        </w:tc>
        <w:tc>
          <w:tcPr>
            <w:tcW w:w="3879" w:type="pct"/>
            <w:tcBorders>
              <w:top w:val="single" w:color="auto" w:sz="4" w:space="0"/>
              <w:left w:val="nil"/>
              <w:bottom w:val="single" w:color="auto" w:sz="4" w:space="0"/>
              <w:right w:val="single" w:color="auto" w:sz="4" w:space="0"/>
            </w:tcBorders>
            <w:noWrap w:val="0"/>
            <w:vAlign w:val="center"/>
          </w:tcPr>
          <w:p w14:paraId="5042B561">
            <w:pPr>
              <w:widowControl/>
              <w:jc w:val="center"/>
              <w:rPr>
                <w:rFonts w:ascii="Times New Roman" w:hAnsi="Times New Roman" w:eastAsia="黑体"/>
                <w:kern w:val="0"/>
                <w:sz w:val="28"/>
                <w:szCs w:val="36"/>
              </w:rPr>
            </w:pPr>
            <w:r>
              <w:rPr>
                <w:rFonts w:ascii="Times New Roman" w:hAnsi="Times New Roman" w:eastAsia="黑体"/>
                <w:kern w:val="0"/>
                <w:sz w:val="28"/>
                <w:szCs w:val="36"/>
              </w:rPr>
              <w:t>工作组机构职责</w:t>
            </w:r>
          </w:p>
        </w:tc>
      </w:tr>
      <w:tr w14:paraId="02F51C0E">
        <w:tblPrEx>
          <w:tblCellMar>
            <w:top w:w="0" w:type="dxa"/>
            <w:left w:w="108" w:type="dxa"/>
            <w:bottom w:w="0" w:type="dxa"/>
            <w:right w:w="108" w:type="dxa"/>
          </w:tblCellMar>
        </w:tblPrEx>
        <w:trPr>
          <w:trHeight w:val="1035" w:hRule="atLeast"/>
        </w:trPr>
        <w:tc>
          <w:tcPr>
            <w:tcW w:w="867" w:type="pct"/>
            <w:tcBorders>
              <w:top w:val="nil"/>
              <w:left w:val="single" w:color="auto" w:sz="4" w:space="0"/>
              <w:bottom w:val="single" w:color="auto" w:sz="4" w:space="0"/>
              <w:right w:val="single" w:color="auto" w:sz="4" w:space="0"/>
            </w:tcBorders>
            <w:noWrap w:val="0"/>
            <w:vAlign w:val="center"/>
          </w:tcPr>
          <w:p w14:paraId="2B95F840">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黑体"/>
                <w:kern w:val="0"/>
                <w:sz w:val="28"/>
                <w:szCs w:val="28"/>
              </w:rPr>
            </w:pPr>
            <w:r>
              <w:rPr>
                <w:rFonts w:ascii="Times New Roman" w:hAnsi="Times New Roman" w:eastAsia="黑体"/>
                <w:kern w:val="0"/>
                <w:sz w:val="28"/>
                <w:szCs w:val="28"/>
              </w:rPr>
              <w:t>综合组</w:t>
            </w:r>
          </w:p>
        </w:tc>
        <w:tc>
          <w:tcPr>
            <w:tcW w:w="3879" w:type="pct"/>
            <w:tcBorders>
              <w:top w:val="nil"/>
              <w:left w:val="nil"/>
              <w:bottom w:val="single" w:color="auto" w:sz="4" w:space="0"/>
              <w:right w:val="single" w:color="auto" w:sz="4" w:space="0"/>
            </w:tcBorders>
            <w:noWrap w:val="0"/>
            <w:vAlign w:val="center"/>
          </w:tcPr>
          <w:p w14:paraId="4578456F">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Times New Roman" w:hAnsi="Times New Roman"/>
                <w:kern w:val="0"/>
                <w:sz w:val="24"/>
                <w:szCs w:val="28"/>
              </w:rPr>
            </w:pPr>
            <w:r>
              <w:rPr>
                <w:rFonts w:ascii="Times New Roman" w:hAnsi="Times New Roman"/>
                <w:kern w:val="0"/>
                <w:sz w:val="24"/>
                <w:szCs w:val="28"/>
              </w:rPr>
              <w:t>组长：指挥长</w:t>
            </w:r>
            <w:r>
              <w:rPr>
                <w:rFonts w:ascii="Times New Roman" w:hAnsi="Times New Roman"/>
                <w:kern w:val="0"/>
                <w:sz w:val="24"/>
                <w:szCs w:val="28"/>
              </w:rPr>
              <w:br w:type="textWrapping"/>
            </w:r>
            <w:r>
              <w:rPr>
                <w:rFonts w:ascii="Times New Roman" w:hAnsi="Times New Roman"/>
                <w:kern w:val="0"/>
                <w:sz w:val="24"/>
                <w:szCs w:val="28"/>
              </w:rPr>
              <w:t>成员：副指挥长、各工作组组长</w:t>
            </w:r>
            <w:r>
              <w:rPr>
                <w:rFonts w:ascii="Times New Roman" w:hAnsi="Times New Roman"/>
                <w:kern w:val="0"/>
                <w:sz w:val="24"/>
                <w:szCs w:val="28"/>
              </w:rPr>
              <w:br w:type="textWrapping"/>
            </w:r>
            <w:r>
              <w:rPr>
                <w:rFonts w:ascii="Times New Roman" w:hAnsi="Times New Roman"/>
                <w:kern w:val="0"/>
                <w:sz w:val="24"/>
                <w:szCs w:val="28"/>
              </w:rPr>
              <w:t>主要职责：针对突发环境事件应对工作中的重大问题进行决策，指挥协调各工作组。</w:t>
            </w:r>
          </w:p>
        </w:tc>
      </w:tr>
      <w:tr w14:paraId="029DD1EA">
        <w:tblPrEx>
          <w:tblCellMar>
            <w:top w:w="0" w:type="dxa"/>
            <w:left w:w="108" w:type="dxa"/>
            <w:bottom w:w="0" w:type="dxa"/>
            <w:right w:w="108" w:type="dxa"/>
          </w:tblCellMar>
        </w:tblPrEx>
        <w:trPr>
          <w:trHeight w:val="2280" w:hRule="atLeast"/>
        </w:trPr>
        <w:tc>
          <w:tcPr>
            <w:tcW w:w="867" w:type="pct"/>
            <w:tcBorders>
              <w:top w:val="nil"/>
              <w:left w:val="single" w:color="auto" w:sz="4" w:space="0"/>
              <w:bottom w:val="single" w:color="auto" w:sz="4" w:space="0"/>
              <w:right w:val="single" w:color="auto" w:sz="4" w:space="0"/>
            </w:tcBorders>
            <w:noWrap w:val="0"/>
            <w:vAlign w:val="center"/>
          </w:tcPr>
          <w:p w14:paraId="114FD269">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黑体"/>
                <w:kern w:val="0"/>
                <w:sz w:val="28"/>
                <w:szCs w:val="28"/>
              </w:rPr>
            </w:pPr>
            <w:r>
              <w:rPr>
                <w:rFonts w:ascii="Times New Roman" w:hAnsi="Times New Roman" w:eastAsia="黑体"/>
                <w:kern w:val="0"/>
                <w:sz w:val="28"/>
                <w:szCs w:val="28"/>
              </w:rPr>
              <w:t>污染处置组</w:t>
            </w:r>
          </w:p>
        </w:tc>
        <w:tc>
          <w:tcPr>
            <w:tcW w:w="3879" w:type="pct"/>
            <w:tcBorders>
              <w:top w:val="nil"/>
              <w:left w:val="nil"/>
              <w:bottom w:val="single" w:color="auto" w:sz="4" w:space="0"/>
              <w:right w:val="single" w:color="auto" w:sz="4" w:space="0"/>
            </w:tcBorders>
            <w:noWrap w:val="0"/>
            <w:vAlign w:val="center"/>
          </w:tcPr>
          <w:p w14:paraId="600F8EFA">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Times New Roman" w:hAnsi="Times New Roman"/>
                <w:kern w:val="0"/>
                <w:sz w:val="24"/>
                <w:szCs w:val="28"/>
              </w:rPr>
            </w:pPr>
            <w:r>
              <w:rPr>
                <w:rFonts w:ascii="Times New Roman" w:hAnsi="Times New Roman"/>
                <w:kern w:val="0"/>
                <w:sz w:val="24"/>
                <w:szCs w:val="28"/>
              </w:rPr>
              <w:t>组长单位：市生态环境局</w:t>
            </w:r>
            <w:r>
              <w:rPr>
                <w:rFonts w:hint="eastAsia" w:ascii="Times New Roman" w:hAnsi="Times New Roman"/>
                <w:kern w:val="0"/>
                <w:sz w:val="24"/>
                <w:szCs w:val="28"/>
              </w:rPr>
              <w:t>繁峙</w:t>
            </w:r>
            <w:r>
              <w:rPr>
                <w:rFonts w:ascii="Times New Roman" w:hAnsi="Times New Roman"/>
                <w:kern w:val="0"/>
                <w:sz w:val="24"/>
                <w:szCs w:val="28"/>
              </w:rPr>
              <w:t>分局</w:t>
            </w:r>
            <w:r>
              <w:rPr>
                <w:rFonts w:ascii="Times New Roman" w:hAnsi="Times New Roman"/>
                <w:kern w:val="0"/>
                <w:sz w:val="24"/>
                <w:szCs w:val="28"/>
              </w:rPr>
              <w:br w:type="textWrapping"/>
            </w:r>
            <w:r>
              <w:rPr>
                <w:rFonts w:ascii="Times New Roman" w:hAnsi="Times New Roman"/>
                <w:kern w:val="0"/>
                <w:sz w:val="24"/>
                <w:szCs w:val="28"/>
              </w:rPr>
              <w:t>成员单位：县公安局、县交通运输局、县水利局、县农业农村局、县自然资源局、</w:t>
            </w:r>
            <w:r>
              <w:rPr>
                <w:rFonts w:hint="eastAsia" w:ascii="Times New Roman" w:hAnsi="Times New Roman"/>
                <w:kern w:val="0"/>
                <w:sz w:val="24"/>
                <w:szCs w:val="28"/>
              </w:rPr>
              <w:t>县林业局、县住房城乡建设局</w:t>
            </w:r>
            <w:r>
              <w:rPr>
                <w:rFonts w:ascii="Times New Roman" w:hAnsi="Times New Roman"/>
                <w:kern w:val="0"/>
                <w:sz w:val="24"/>
                <w:szCs w:val="28"/>
              </w:rPr>
              <w:t>、</w:t>
            </w:r>
            <w:r>
              <w:rPr>
                <w:rFonts w:hint="eastAsia" w:ascii="Times New Roman" w:hAnsi="Times New Roman"/>
                <w:kern w:val="0"/>
                <w:sz w:val="24"/>
                <w:szCs w:val="28"/>
              </w:rPr>
              <w:t>县应急局</w:t>
            </w:r>
            <w:r>
              <w:rPr>
                <w:rFonts w:ascii="Times New Roman" w:hAnsi="Times New Roman"/>
                <w:kern w:val="0"/>
                <w:sz w:val="24"/>
                <w:szCs w:val="28"/>
              </w:rPr>
              <w:t>、忻州武警支队</w:t>
            </w:r>
            <w:r>
              <w:rPr>
                <w:rFonts w:hint="eastAsia" w:ascii="Times New Roman" w:hAnsi="Times New Roman"/>
                <w:kern w:val="0"/>
                <w:sz w:val="24"/>
                <w:szCs w:val="28"/>
              </w:rPr>
              <w:t>繁峙</w:t>
            </w:r>
            <w:r>
              <w:rPr>
                <w:rFonts w:ascii="Times New Roman" w:hAnsi="Times New Roman"/>
                <w:kern w:val="0"/>
                <w:sz w:val="24"/>
                <w:szCs w:val="28"/>
              </w:rPr>
              <w:t>中队、县消防救援大队、事发</w:t>
            </w:r>
            <w:r>
              <w:rPr>
                <w:rFonts w:hint="eastAsia" w:ascii="Times New Roman" w:hAnsi="Times New Roman"/>
                <w:kern w:val="0"/>
                <w:sz w:val="24"/>
                <w:szCs w:val="28"/>
                <w:lang w:val="en-US" w:eastAsia="zh-CN"/>
              </w:rPr>
              <w:t>乡镇人民</w:t>
            </w:r>
            <w:r>
              <w:rPr>
                <w:rFonts w:ascii="Times New Roman" w:hAnsi="Times New Roman"/>
                <w:kern w:val="0"/>
                <w:sz w:val="24"/>
                <w:szCs w:val="28"/>
              </w:rPr>
              <w:t>政府和相关部门。</w:t>
            </w:r>
            <w:r>
              <w:rPr>
                <w:rFonts w:ascii="Times New Roman" w:hAnsi="Times New Roman"/>
                <w:kern w:val="0"/>
                <w:sz w:val="24"/>
                <w:szCs w:val="28"/>
              </w:rPr>
              <w:br w:type="textWrapping"/>
            </w:r>
            <w:r>
              <w:rPr>
                <w:rFonts w:ascii="Times New Roman" w:hAnsi="Times New Roman"/>
                <w:kern w:val="0"/>
                <w:sz w:val="24"/>
                <w:szCs w:val="28"/>
              </w:rPr>
              <w:t>主要职责：收集汇总相关数据，组织进行技术研判，开展事态分析；迅速组织切断污染源，分析污染途径，明确防止污染物扩散的程序；组织采取有效措施，消除或减轻已经造成的污染；明确不同情况下的现场处置人员须采取的个人防护措施；划定现场警戒和交通管制区域，确定重点防护区域，确定受威胁人员疏散的方式和途径，疏散转移受威胁人员至安全紧急避险场所；协调部队、武警、消防有关力量参与应急处置。</w:t>
            </w:r>
          </w:p>
        </w:tc>
      </w:tr>
      <w:tr w14:paraId="15D4F3AF">
        <w:tblPrEx>
          <w:tblCellMar>
            <w:top w:w="0" w:type="dxa"/>
            <w:left w:w="108" w:type="dxa"/>
            <w:bottom w:w="0" w:type="dxa"/>
            <w:right w:w="108" w:type="dxa"/>
          </w:tblCellMar>
        </w:tblPrEx>
        <w:trPr>
          <w:trHeight w:val="1885" w:hRule="atLeast"/>
        </w:trPr>
        <w:tc>
          <w:tcPr>
            <w:tcW w:w="867" w:type="pct"/>
            <w:tcBorders>
              <w:top w:val="single" w:color="auto" w:sz="4" w:space="0"/>
              <w:left w:val="single" w:color="auto" w:sz="4" w:space="0"/>
              <w:bottom w:val="single" w:color="auto" w:sz="4" w:space="0"/>
              <w:right w:val="single" w:color="auto" w:sz="4" w:space="0"/>
            </w:tcBorders>
            <w:noWrap w:val="0"/>
            <w:vAlign w:val="center"/>
          </w:tcPr>
          <w:p w14:paraId="07C5A5A5">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黑体"/>
                <w:kern w:val="0"/>
                <w:sz w:val="28"/>
                <w:szCs w:val="28"/>
              </w:rPr>
            </w:pPr>
            <w:r>
              <w:rPr>
                <w:rFonts w:ascii="Times New Roman" w:hAnsi="Times New Roman" w:eastAsia="黑体"/>
                <w:kern w:val="0"/>
                <w:sz w:val="28"/>
                <w:szCs w:val="28"/>
              </w:rPr>
              <w:t>应急监测组</w:t>
            </w:r>
          </w:p>
        </w:tc>
        <w:tc>
          <w:tcPr>
            <w:tcW w:w="3879" w:type="pct"/>
            <w:tcBorders>
              <w:top w:val="single" w:color="auto" w:sz="4" w:space="0"/>
              <w:left w:val="nil"/>
              <w:bottom w:val="single" w:color="auto" w:sz="4" w:space="0"/>
              <w:right w:val="single" w:color="auto" w:sz="4" w:space="0"/>
            </w:tcBorders>
            <w:noWrap w:val="0"/>
            <w:vAlign w:val="center"/>
          </w:tcPr>
          <w:p w14:paraId="580CE316">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Times New Roman" w:hAnsi="Times New Roman"/>
                <w:kern w:val="0"/>
                <w:sz w:val="24"/>
                <w:szCs w:val="28"/>
              </w:rPr>
            </w:pPr>
            <w:r>
              <w:rPr>
                <w:rFonts w:ascii="Times New Roman" w:hAnsi="Times New Roman"/>
                <w:kern w:val="0"/>
                <w:sz w:val="24"/>
                <w:szCs w:val="28"/>
              </w:rPr>
              <w:t>组长单位：市生态环境局</w:t>
            </w:r>
            <w:r>
              <w:rPr>
                <w:rFonts w:hint="eastAsia" w:ascii="Times New Roman" w:hAnsi="Times New Roman"/>
                <w:kern w:val="0"/>
                <w:sz w:val="24"/>
                <w:szCs w:val="28"/>
              </w:rPr>
              <w:t>繁峙</w:t>
            </w:r>
            <w:r>
              <w:rPr>
                <w:rFonts w:ascii="Times New Roman" w:hAnsi="Times New Roman"/>
                <w:kern w:val="0"/>
                <w:sz w:val="24"/>
                <w:szCs w:val="28"/>
              </w:rPr>
              <w:t>分局</w:t>
            </w:r>
            <w:r>
              <w:rPr>
                <w:rFonts w:ascii="Times New Roman" w:hAnsi="Times New Roman"/>
                <w:kern w:val="0"/>
                <w:sz w:val="24"/>
                <w:szCs w:val="28"/>
              </w:rPr>
              <w:br w:type="textWrapping"/>
            </w:r>
            <w:r>
              <w:rPr>
                <w:rFonts w:ascii="Times New Roman" w:hAnsi="Times New Roman"/>
                <w:kern w:val="0"/>
                <w:sz w:val="24"/>
                <w:szCs w:val="28"/>
              </w:rPr>
              <w:t>成员单位：</w:t>
            </w:r>
            <w:r>
              <w:rPr>
                <w:rFonts w:ascii="Times New Roman" w:hAnsi="Times New Roman"/>
                <w:spacing w:val="-6"/>
                <w:kern w:val="0"/>
                <w:sz w:val="24"/>
                <w:szCs w:val="28"/>
              </w:rPr>
              <w:t>县水利局、县农业农村局、县自然资源局、</w:t>
            </w:r>
            <w:r>
              <w:rPr>
                <w:rFonts w:hint="eastAsia" w:ascii="Times New Roman" w:hAnsi="Times New Roman"/>
                <w:spacing w:val="-6"/>
                <w:kern w:val="0"/>
                <w:sz w:val="24"/>
                <w:szCs w:val="28"/>
              </w:rPr>
              <w:t>县林业局、</w:t>
            </w:r>
            <w:r>
              <w:rPr>
                <w:rFonts w:ascii="Times New Roman" w:hAnsi="Times New Roman"/>
                <w:spacing w:val="-6"/>
                <w:kern w:val="0"/>
                <w:sz w:val="24"/>
                <w:szCs w:val="28"/>
              </w:rPr>
              <w:t>县气象局、事发</w:t>
            </w:r>
            <w:r>
              <w:rPr>
                <w:rFonts w:hint="eastAsia" w:ascii="Times New Roman" w:hAnsi="Times New Roman"/>
                <w:spacing w:val="-6"/>
                <w:kern w:val="0"/>
                <w:sz w:val="24"/>
                <w:szCs w:val="28"/>
                <w:lang w:val="en-US" w:eastAsia="zh-CN"/>
              </w:rPr>
              <w:t>乡镇人民</w:t>
            </w:r>
            <w:r>
              <w:rPr>
                <w:rFonts w:ascii="Times New Roman" w:hAnsi="Times New Roman"/>
                <w:spacing w:val="-6"/>
                <w:kern w:val="0"/>
                <w:sz w:val="24"/>
                <w:szCs w:val="28"/>
              </w:rPr>
              <w:t>政府和相关部门</w:t>
            </w:r>
            <w:r>
              <w:rPr>
                <w:rFonts w:ascii="Times New Roman" w:hAnsi="Times New Roman"/>
                <w:kern w:val="0"/>
                <w:sz w:val="24"/>
                <w:szCs w:val="28"/>
              </w:rPr>
              <w:br w:type="textWrapping"/>
            </w:r>
            <w:r>
              <w:rPr>
                <w:rFonts w:ascii="Times New Roman" w:hAnsi="Times New Roman"/>
                <w:kern w:val="0"/>
                <w:sz w:val="24"/>
                <w:szCs w:val="28"/>
              </w:rPr>
              <w:t>主要职责：根据突发环境事件的污染物种类、性质以及当地气象、自然、社会环境状况等，明确相应的应急监测方案及监测方法；会同专家分析研判污染物扩散范围，明确监测的布点和频次，做好大气、水体、土壤等应急监测，为突发环境事件应急决策提供依据；协调部队力量参与应急监测。</w:t>
            </w:r>
          </w:p>
        </w:tc>
      </w:tr>
      <w:tr w14:paraId="008CB122">
        <w:tblPrEx>
          <w:tblCellMar>
            <w:top w:w="0" w:type="dxa"/>
            <w:left w:w="108" w:type="dxa"/>
            <w:bottom w:w="0" w:type="dxa"/>
            <w:right w:w="108" w:type="dxa"/>
          </w:tblCellMar>
        </w:tblPrEx>
        <w:trPr>
          <w:trHeight w:val="2330" w:hRule="atLeast"/>
        </w:trPr>
        <w:tc>
          <w:tcPr>
            <w:tcW w:w="867" w:type="pct"/>
            <w:tcBorders>
              <w:top w:val="single" w:color="auto" w:sz="4" w:space="0"/>
              <w:left w:val="single" w:color="auto" w:sz="4" w:space="0"/>
              <w:bottom w:val="single" w:color="auto" w:sz="4" w:space="0"/>
              <w:right w:val="single" w:color="auto" w:sz="4" w:space="0"/>
            </w:tcBorders>
            <w:noWrap w:val="0"/>
            <w:vAlign w:val="center"/>
          </w:tcPr>
          <w:p w14:paraId="4351D26A">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黑体"/>
                <w:kern w:val="0"/>
                <w:sz w:val="28"/>
                <w:szCs w:val="28"/>
              </w:rPr>
            </w:pPr>
          </w:p>
          <w:p w14:paraId="520063E2">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黑体"/>
                <w:kern w:val="0"/>
                <w:sz w:val="28"/>
                <w:szCs w:val="28"/>
              </w:rPr>
            </w:pPr>
          </w:p>
          <w:p w14:paraId="662D4863">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黑体"/>
                <w:kern w:val="0"/>
                <w:sz w:val="28"/>
                <w:szCs w:val="28"/>
              </w:rPr>
            </w:pPr>
          </w:p>
          <w:p w14:paraId="727375D1">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黑体"/>
                <w:kern w:val="0"/>
                <w:sz w:val="28"/>
                <w:szCs w:val="28"/>
              </w:rPr>
            </w:pPr>
          </w:p>
          <w:p w14:paraId="4B3EB6CE">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黑体"/>
                <w:kern w:val="0"/>
                <w:sz w:val="28"/>
                <w:szCs w:val="28"/>
              </w:rPr>
            </w:pPr>
            <w:r>
              <w:rPr>
                <w:sz w:val="32"/>
              </w:rPr>
              <mc:AlternateContent>
                <mc:Choice Requires="wps">
                  <w:drawing>
                    <wp:anchor distT="0" distB="0" distL="114300" distR="114300" simplePos="0" relativeHeight="251659264" behindDoc="0" locked="0" layoutInCell="1" allowOverlap="1">
                      <wp:simplePos x="0" y="0"/>
                      <wp:positionH relativeFrom="column">
                        <wp:posOffset>-616585</wp:posOffset>
                      </wp:positionH>
                      <wp:positionV relativeFrom="paragraph">
                        <wp:posOffset>787400</wp:posOffset>
                      </wp:positionV>
                      <wp:extent cx="502920" cy="6654165"/>
                      <wp:effectExtent l="0" t="0" r="0" b="0"/>
                      <wp:wrapNone/>
                      <wp:docPr id="2" name="文本框 2"/>
                      <wp:cNvGraphicFramePr/>
                      <a:graphic xmlns:a="http://schemas.openxmlformats.org/drawingml/2006/main">
                        <a:graphicData uri="http://schemas.microsoft.com/office/word/2010/wordprocessingShape">
                          <wps:wsp>
                            <wps:cNvSpPr txBox="1"/>
                            <wps:spPr>
                              <a:xfrm>
                                <a:off x="0" y="0"/>
                                <a:ext cx="502920" cy="6654165"/>
                              </a:xfrm>
                              <a:prstGeom prst="rect">
                                <a:avLst/>
                              </a:prstGeom>
                              <a:noFill/>
                              <a:ln>
                                <a:noFill/>
                              </a:ln>
                            </wps:spPr>
                            <wps:txbx>
                              <w:txbxContent>
                                <w:p w14:paraId="13A0A98D">
                                  <w:pPr>
                                    <w:rPr>
                                      <w:rFonts w:hint="default" w:eastAsia="仿宋"/>
                                      <w:lang w:val="en-US" w:eastAsia="zh-CN"/>
                                    </w:rPr>
                                  </w:pPr>
                                  <w:r>
                                    <w:rPr>
                                      <w:rFonts w:hint="eastAsia"/>
                                      <w:lang w:val="en-US" w:eastAsia="zh-CN"/>
                                    </w:rPr>
                                    <w:t xml:space="preserve">                           </w:t>
                                  </w:r>
                                  <w:r>
                                    <w:rPr>
                                      <w:rFonts w:hint="eastAsia" w:ascii="宋体" w:hAnsi="宋体" w:eastAsia="宋体" w:cs="宋体"/>
                                      <w:sz w:val="28"/>
                                      <w:szCs w:val="28"/>
                                      <w:lang w:val="en-US" w:eastAsia="zh-CN"/>
                                    </w:rPr>
                                    <w:t>- 25 -</w:t>
                                  </w:r>
                                </w:p>
                              </w:txbxContent>
                            </wps:txbx>
                            <wps:bodyPr vert="eaVert" upright="1"/>
                          </wps:wsp>
                        </a:graphicData>
                      </a:graphic>
                    </wp:anchor>
                  </w:drawing>
                </mc:Choice>
                <mc:Fallback>
                  <w:pict>
                    <v:shape id="_x0000_s1026" o:spid="_x0000_s1026" o:spt="202" type="#_x0000_t202" style="position:absolute;left:0pt;margin-left:-48.55pt;margin-top:62pt;height:523.95pt;width:39.6pt;z-index:251659264;mso-width-relative:page;mso-height-relative:page;" filled="f" stroked="f" coordsize="21600,21600" o:gfxdata="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xrfcptwAAAAMAQAADwAAAAAAAAABACAAAAAiAAAAZHJzL2Rvd25yZXYueG1sUEsBAhQA&#10;FAAAAAgAh07iQF3fKae1AQAAXAMAAA4AAAAAAAAAAQAgAAAAKwEAAGRycy9lMm9Eb2MueG1sUEsF&#10;BgAAAAAGAAYAWQEAAFIFAAAAAA==&#10;">
                      <v:path/>
                      <v:fill on="f" focussize="0,0"/>
                      <v:stroke on="f"/>
                      <v:imagedata o:title=""/>
                      <o:lock v:ext="edit" aspectratio="f"/>
                      <v:textbox style="layout-flow:vertical-ideographic;">
                        <w:txbxContent>
                          <w:p w14:paraId="13A0A98D">
                            <w:pPr>
                              <w:rPr>
                                <w:rFonts w:hint="default" w:eastAsia="仿宋"/>
                                <w:lang w:val="en-US" w:eastAsia="zh-CN"/>
                              </w:rPr>
                            </w:pPr>
                            <w:r>
                              <w:rPr>
                                <w:rFonts w:hint="eastAsia"/>
                                <w:lang w:val="en-US" w:eastAsia="zh-CN"/>
                              </w:rPr>
                              <w:t xml:space="preserve">                           </w:t>
                            </w:r>
                            <w:r>
                              <w:rPr>
                                <w:rFonts w:hint="eastAsia" w:ascii="宋体" w:hAnsi="宋体" w:eastAsia="宋体" w:cs="宋体"/>
                                <w:sz w:val="28"/>
                                <w:szCs w:val="28"/>
                                <w:lang w:val="en-US" w:eastAsia="zh-CN"/>
                              </w:rPr>
                              <w:t>- 25 -</w:t>
                            </w:r>
                          </w:p>
                        </w:txbxContent>
                      </v:textbox>
                    </v:shape>
                  </w:pict>
                </mc:Fallback>
              </mc:AlternateContent>
            </w:r>
            <w:r>
              <w:rPr>
                <w:rFonts w:ascii="Times New Roman" w:hAnsi="Times New Roman" w:eastAsia="黑体"/>
                <w:kern w:val="0"/>
                <w:sz w:val="28"/>
                <w:szCs w:val="28"/>
              </w:rPr>
              <w:t>医学救援组</w:t>
            </w:r>
          </w:p>
        </w:tc>
        <w:tc>
          <w:tcPr>
            <w:tcW w:w="3879" w:type="pct"/>
            <w:tcBorders>
              <w:top w:val="single" w:color="auto" w:sz="4" w:space="0"/>
              <w:left w:val="nil"/>
              <w:bottom w:val="single" w:color="auto" w:sz="4" w:space="0"/>
              <w:right w:val="single" w:color="auto" w:sz="4" w:space="0"/>
            </w:tcBorders>
            <w:noWrap w:val="0"/>
            <w:vAlign w:val="center"/>
          </w:tcPr>
          <w:p w14:paraId="0C966E39">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Times New Roman" w:hAnsi="Times New Roman"/>
                <w:kern w:val="0"/>
                <w:sz w:val="24"/>
                <w:szCs w:val="28"/>
              </w:rPr>
            </w:pPr>
            <w:r>
              <w:rPr>
                <w:rFonts w:ascii="Times New Roman" w:hAnsi="Times New Roman"/>
                <w:kern w:val="0"/>
                <w:sz w:val="24"/>
                <w:szCs w:val="28"/>
              </w:rPr>
              <w:t>组长单位：</w:t>
            </w:r>
            <w:r>
              <w:rPr>
                <w:rFonts w:hint="eastAsia" w:ascii="Times New Roman" w:hAnsi="Times New Roman"/>
                <w:kern w:val="0"/>
                <w:sz w:val="24"/>
                <w:szCs w:val="28"/>
              </w:rPr>
              <w:t>县卫健局</w:t>
            </w:r>
            <w:r>
              <w:rPr>
                <w:rFonts w:ascii="Times New Roman" w:hAnsi="Times New Roman"/>
                <w:kern w:val="0"/>
                <w:sz w:val="24"/>
                <w:szCs w:val="28"/>
              </w:rPr>
              <w:br w:type="textWrapping"/>
            </w:r>
            <w:r>
              <w:rPr>
                <w:rFonts w:ascii="Times New Roman" w:hAnsi="Times New Roman"/>
                <w:kern w:val="0"/>
                <w:sz w:val="24"/>
                <w:szCs w:val="28"/>
              </w:rPr>
              <w:t>成员单位：</w:t>
            </w:r>
            <w:r>
              <w:rPr>
                <w:rFonts w:hint="eastAsia" w:ascii="Times New Roman" w:hAnsi="Times New Roman"/>
                <w:color w:val="000000"/>
                <w:kern w:val="0"/>
                <w:sz w:val="24"/>
                <w:szCs w:val="28"/>
              </w:rPr>
              <w:t>县市场监管局</w:t>
            </w:r>
            <w:r>
              <w:rPr>
                <w:rFonts w:ascii="Times New Roman" w:hAnsi="Times New Roman"/>
                <w:kern w:val="0"/>
                <w:sz w:val="24"/>
                <w:szCs w:val="28"/>
              </w:rPr>
              <w:t>、县公安局、县民政局、市生态环境局</w:t>
            </w:r>
            <w:r>
              <w:rPr>
                <w:rFonts w:hint="eastAsia" w:ascii="Times New Roman" w:hAnsi="Times New Roman"/>
                <w:kern w:val="0"/>
                <w:sz w:val="24"/>
                <w:szCs w:val="28"/>
              </w:rPr>
              <w:t>繁峙</w:t>
            </w:r>
            <w:r>
              <w:rPr>
                <w:rFonts w:ascii="Times New Roman" w:hAnsi="Times New Roman"/>
                <w:kern w:val="0"/>
                <w:sz w:val="24"/>
                <w:szCs w:val="28"/>
              </w:rPr>
              <w:t>分局、</w:t>
            </w:r>
            <w:r>
              <w:rPr>
                <w:rFonts w:ascii="Times New Roman" w:hAnsi="Times New Roman"/>
                <w:spacing w:val="-6"/>
                <w:kern w:val="0"/>
                <w:sz w:val="24"/>
                <w:szCs w:val="28"/>
              </w:rPr>
              <w:t>事发</w:t>
            </w:r>
            <w:r>
              <w:rPr>
                <w:rFonts w:hint="eastAsia" w:ascii="Times New Roman" w:hAnsi="Times New Roman"/>
                <w:spacing w:val="-6"/>
                <w:kern w:val="0"/>
                <w:sz w:val="24"/>
                <w:szCs w:val="28"/>
                <w:lang w:val="en-US" w:eastAsia="zh-CN"/>
              </w:rPr>
              <w:t>乡镇人民</w:t>
            </w:r>
            <w:r>
              <w:rPr>
                <w:rFonts w:ascii="Times New Roman" w:hAnsi="Times New Roman"/>
                <w:spacing w:val="-6"/>
                <w:kern w:val="0"/>
                <w:sz w:val="24"/>
                <w:szCs w:val="28"/>
              </w:rPr>
              <w:t>政府</w:t>
            </w:r>
            <w:r>
              <w:rPr>
                <w:rFonts w:ascii="Times New Roman" w:hAnsi="Times New Roman"/>
                <w:kern w:val="0"/>
                <w:sz w:val="24"/>
                <w:szCs w:val="28"/>
              </w:rPr>
              <w:t>和相关部门。</w:t>
            </w:r>
            <w:r>
              <w:rPr>
                <w:rFonts w:ascii="Times New Roman" w:hAnsi="Times New Roman"/>
                <w:kern w:val="0"/>
                <w:sz w:val="24"/>
                <w:szCs w:val="28"/>
              </w:rPr>
              <w:br w:type="textWrapping"/>
            </w:r>
            <w:r>
              <w:rPr>
                <w:rFonts w:ascii="Times New Roman" w:hAnsi="Times New Roman"/>
                <w:kern w:val="0"/>
                <w:sz w:val="24"/>
                <w:szCs w:val="28"/>
              </w:rPr>
              <w:t>主要职责：组织开展伤病员医疗救治、应急心理援助；指导和协助开展受污染人员的去污洗消工作；提出保护公众健康的措施建议；统计死亡、中毒（或受伤）人数和住院治疗人数；禁止或限制受污染食品和饮用水的生产、加工、流通和食用，防范因突发环境事件造成集体中毒等。</w:t>
            </w:r>
          </w:p>
        </w:tc>
      </w:tr>
      <w:tr w14:paraId="7A796A7D">
        <w:tblPrEx>
          <w:tblCellMar>
            <w:top w:w="0" w:type="dxa"/>
            <w:left w:w="108" w:type="dxa"/>
            <w:bottom w:w="0" w:type="dxa"/>
            <w:right w:w="108" w:type="dxa"/>
          </w:tblCellMar>
        </w:tblPrEx>
        <w:trPr>
          <w:trHeight w:val="2944" w:hRule="atLeast"/>
        </w:trPr>
        <w:tc>
          <w:tcPr>
            <w:tcW w:w="867" w:type="pct"/>
            <w:tcBorders>
              <w:top w:val="single" w:color="auto" w:sz="4" w:space="0"/>
              <w:left w:val="single" w:color="auto" w:sz="4" w:space="0"/>
              <w:bottom w:val="single" w:color="auto" w:sz="4" w:space="0"/>
              <w:right w:val="single" w:color="auto" w:sz="4" w:space="0"/>
            </w:tcBorders>
            <w:noWrap w:val="0"/>
            <w:vAlign w:val="center"/>
          </w:tcPr>
          <w:p w14:paraId="2EA87964">
            <w:pPr>
              <w:widowControl/>
              <w:jc w:val="center"/>
              <w:rPr>
                <w:rFonts w:ascii="Times New Roman" w:hAnsi="Times New Roman" w:eastAsia="黑体"/>
                <w:kern w:val="0"/>
                <w:sz w:val="28"/>
                <w:szCs w:val="28"/>
              </w:rPr>
            </w:pPr>
            <w:r>
              <w:rPr>
                <w:rFonts w:ascii="Times New Roman" w:hAnsi="Times New Roman" w:eastAsia="黑体"/>
                <w:kern w:val="0"/>
                <w:sz w:val="28"/>
                <w:szCs w:val="28"/>
              </w:rPr>
              <w:t>应急保障组</w:t>
            </w:r>
          </w:p>
        </w:tc>
        <w:tc>
          <w:tcPr>
            <w:tcW w:w="3879" w:type="pct"/>
            <w:tcBorders>
              <w:top w:val="single" w:color="auto" w:sz="4" w:space="0"/>
              <w:left w:val="nil"/>
              <w:bottom w:val="single" w:color="auto" w:sz="4" w:space="0"/>
              <w:right w:val="single" w:color="auto" w:sz="4" w:space="0"/>
            </w:tcBorders>
            <w:noWrap w:val="0"/>
            <w:vAlign w:val="center"/>
          </w:tcPr>
          <w:p w14:paraId="0C15F400">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ascii="Times New Roman" w:hAnsi="Times New Roman"/>
                <w:kern w:val="0"/>
                <w:sz w:val="24"/>
                <w:szCs w:val="28"/>
              </w:rPr>
            </w:pPr>
            <w:r>
              <w:rPr>
                <w:rFonts w:ascii="Times New Roman" w:hAnsi="Times New Roman"/>
                <w:kern w:val="0"/>
                <w:sz w:val="24"/>
                <w:szCs w:val="28"/>
              </w:rPr>
              <w:t>组长单位：</w:t>
            </w:r>
            <w:r>
              <w:rPr>
                <w:rFonts w:hint="eastAsia" w:ascii="Times New Roman" w:hAnsi="Times New Roman"/>
                <w:color w:val="000000"/>
                <w:kern w:val="0"/>
                <w:sz w:val="24"/>
                <w:szCs w:val="28"/>
              </w:rPr>
              <w:t>县发展改革局</w:t>
            </w:r>
            <w:r>
              <w:rPr>
                <w:rFonts w:ascii="Times New Roman" w:hAnsi="Times New Roman"/>
                <w:kern w:val="0"/>
                <w:sz w:val="24"/>
                <w:szCs w:val="28"/>
              </w:rPr>
              <w:br w:type="textWrapping"/>
            </w:r>
            <w:r>
              <w:rPr>
                <w:rFonts w:ascii="Times New Roman" w:hAnsi="Times New Roman"/>
                <w:kern w:val="0"/>
                <w:sz w:val="24"/>
                <w:szCs w:val="28"/>
              </w:rPr>
              <w:t>成员单位：</w:t>
            </w:r>
            <w:r>
              <w:rPr>
                <w:rFonts w:ascii="Times New Roman" w:hAnsi="Times New Roman"/>
                <w:color w:val="000000"/>
                <w:kern w:val="0"/>
                <w:sz w:val="24"/>
                <w:szCs w:val="28"/>
              </w:rPr>
              <w:t>县工</w:t>
            </w:r>
            <w:r>
              <w:rPr>
                <w:rFonts w:hint="eastAsia" w:ascii="Times New Roman" w:hAnsi="Times New Roman"/>
                <w:color w:val="000000"/>
                <w:kern w:val="0"/>
                <w:sz w:val="24"/>
                <w:szCs w:val="28"/>
              </w:rPr>
              <w:t>科</w:t>
            </w:r>
            <w:r>
              <w:rPr>
                <w:rFonts w:ascii="Times New Roman" w:hAnsi="Times New Roman"/>
                <w:color w:val="000000"/>
                <w:kern w:val="0"/>
                <w:sz w:val="24"/>
                <w:szCs w:val="28"/>
              </w:rPr>
              <w:t>局</w:t>
            </w:r>
            <w:r>
              <w:rPr>
                <w:rFonts w:ascii="Times New Roman" w:hAnsi="Times New Roman"/>
                <w:kern w:val="0"/>
                <w:sz w:val="24"/>
                <w:szCs w:val="28"/>
              </w:rPr>
              <w:t>、县公安局、县民政局、县财政局、市生态环境局</w:t>
            </w:r>
            <w:r>
              <w:rPr>
                <w:rFonts w:hint="eastAsia" w:ascii="Times New Roman" w:hAnsi="Times New Roman"/>
                <w:kern w:val="0"/>
                <w:sz w:val="24"/>
                <w:szCs w:val="28"/>
              </w:rPr>
              <w:t>繁峙</w:t>
            </w:r>
            <w:r>
              <w:rPr>
                <w:rFonts w:ascii="Times New Roman" w:hAnsi="Times New Roman"/>
                <w:kern w:val="0"/>
                <w:sz w:val="24"/>
                <w:szCs w:val="28"/>
              </w:rPr>
              <w:t>分局、县教</w:t>
            </w:r>
            <w:r>
              <w:rPr>
                <w:rFonts w:hint="eastAsia" w:ascii="Times New Roman" w:hAnsi="Times New Roman"/>
                <w:kern w:val="0"/>
                <w:sz w:val="24"/>
                <w:szCs w:val="28"/>
              </w:rPr>
              <w:t>体</w:t>
            </w:r>
            <w:r>
              <w:rPr>
                <w:rFonts w:ascii="Times New Roman" w:hAnsi="Times New Roman"/>
                <w:kern w:val="0"/>
                <w:sz w:val="24"/>
                <w:szCs w:val="28"/>
              </w:rPr>
              <w:t>局、</w:t>
            </w:r>
            <w:r>
              <w:rPr>
                <w:rFonts w:hint="eastAsia" w:ascii="Times New Roman" w:hAnsi="Times New Roman"/>
                <w:kern w:val="0"/>
                <w:sz w:val="24"/>
                <w:szCs w:val="28"/>
              </w:rPr>
              <w:t>县住房城乡建设局</w:t>
            </w:r>
            <w:r>
              <w:rPr>
                <w:rFonts w:ascii="Times New Roman" w:hAnsi="Times New Roman"/>
                <w:kern w:val="0"/>
                <w:sz w:val="24"/>
                <w:szCs w:val="28"/>
              </w:rPr>
              <w:t>、县交通运输局、县水利局、</w:t>
            </w:r>
            <w:r>
              <w:rPr>
                <w:rFonts w:hint="eastAsia" w:ascii="Times New Roman" w:hAnsi="Times New Roman"/>
                <w:kern w:val="0"/>
                <w:sz w:val="24"/>
                <w:szCs w:val="28"/>
              </w:rPr>
              <w:t>国网繁峙县供电公司</w:t>
            </w:r>
            <w:r>
              <w:rPr>
                <w:rFonts w:ascii="Times New Roman" w:hAnsi="Times New Roman"/>
                <w:kern w:val="0"/>
                <w:sz w:val="24"/>
                <w:szCs w:val="28"/>
              </w:rPr>
              <w:t>、</w:t>
            </w:r>
            <w:r>
              <w:rPr>
                <w:rFonts w:ascii="Times New Roman" w:hAnsi="Times New Roman"/>
                <w:spacing w:val="-6"/>
                <w:kern w:val="0"/>
                <w:sz w:val="24"/>
                <w:szCs w:val="28"/>
              </w:rPr>
              <w:t>事发</w:t>
            </w:r>
            <w:r>
              <w:rPr>
                <w:rFonts w:hint="eastAsia" w:ascii="Times New Roman" w:hAnsi="Times New Roman"/>
                <w:spacing w:val="-6"/>
                <w:kern w:val="0"/>
                <w:sz w:val="24"/>
                <w:szCs w:val="28"/>
                <w:lang w:val="en-US" w:eastAsia="zh-CN"/>
              </w:rPr>
              <w:t>乡镇人民</w:t>
            </w:r>
            <w:r>
              <w:rPr>
                <w:rFonts w:ascii="Times New Roman" w:hAnsi="Times New Roman"/>
                <w:spacing w:val="-6"/>
                <w:kern w:val="0"/>
                <w:sz w:val="24"/>
                <w:szCs w:val="28"/>
              </w:rPr>
              <w:t>政府</w:t>
            </w:r>
            <w:r>
              <w:rPr>
                <w:rFonts w:ascii="Times New Roman" w:hAnsi="Times New Roman"/>
                <w:kern w:val="0"/>
                <w:sz w:val="24"/>
                <w:szCs w:val="28"/>
              </w:rPr>
              <w:t>和相关部门。</w:t>
            </w:r>
            <w:r>
              <w:rPr>
                <w:rFonts w:ascii="Times New Roman" w:hAnsi="Times New Roman"/>
                <w:kern w:val="0"/>
                <w:sz w:val="24"/>
                <w:szCs w:val="28"/>
              </w:rPr>
              <w:br w:type="textWrapping"/>
            </w:r>
            <w:r>
              <w:rPr>
                <w:rFonts w:ascii="Times New Roman" w:hAnsi="Times New Roman"/>
                <w:kern w:val="0"/>
                <w:sz w:val="24"/>
                <w:szCs w:val="28"/>
              </w:rPr>
              <w:t>主要职责：指导做好事件影响区域有关人员的紧急转移和临时安置工作；组织做好环境应急救援物资及临时安置重要物资的紧急生产、储备调拨和紧急配送工作；及时组织调运重要生活必需品，保障群众基本生活和市场供应；开展应急测绘，提供抢险救援、灾害评估所需的地图与地理信息及测绘技术保障。</w:t>
            </w:r>
          </w:p>
        </w:tc>
      </w:tr>
      <w:tr w14:paraId="6A3023C3">
        <w:tblPrEx>
          <w:tblCellMar>
            <w:top w:w="0" w:type="dxa"/>
            <w:left w:w="108" w:type="dxa"/>
            <w:bottom w:w="0" w:type="dxa"/>
            <w:right w:w="108" w:type="dxa"/>
          </w:tblCellMar>
        </w:tblPrEx>
        <w:trPr>
          <w:trHeight w:val="2360" w:hRule="atLeast"/>
        </w:trPr>
        <w:tc>
          <w:tcPr>
            <w:tcW w:w="867" w:type="pct"/>
            <w:tcBorders>
              <w:top w:val="single" w:color="auto" w:sz="4" w:space="0"/>
              <w:left w:val="single" w:color="auto" w:sz="4" w:space="0"/>
              <w:bottom w:val="single" w:color="auto" w:sz="4" w:space="0"/>
              <w:right w:val="single" w:color="auto" w:sz="4" w:space="0"/>
            </w:tcBorders>
            <w:noWrap w:val="0"/>
            <w:vAlign w:val="center"/>
          </w:tcPr>
          <w:p w14:paraId="39CC887D">
            <w:pPr>
              <w:widowControl/>
              <w:jc w:val="center"/>
              <w:rPr>
                <w:rFonts w:ascii="Times New Roman" w:hAnsi="Times New Roman" w:eastAsia="黑体"/>
                <w:kern w:val="0"/>
                <w:sz w:val="28"/>
                <w:szCs w:val="28"/>
              </w:rPr>
            </w:pPr>
            <w:r>
              <w:rPr>
                <w:rFonts w:ascii="Times New Roman" w:hAnsi="Times New Roman" w:eastAsia="黑体"/>
                <w:kern w:val="0"/>
                <w:sz w:val="28"/>
                <w:szCs w:val="28"/>
              </w:rPr>
              <w:t>新闻宣传组</w:t>
            </w:r>
          </w:p>
        </w:tc>
        <w:tc>
          <w:tcPr>
            <w:tcW w:w="3879" w:type="pct"/>
            <w:tcBorders>
              <w:top w:val="single" w:color="auto" w:sz="4" w:space="0"/>
              <w:left w:val="nil"/>
              <w:bottom w:val="single" w:color="auto" w:sz="4" w:space="0"/>
              <w:right w:val="single" w:color="auto" w:sz="4" w:space="0"/>
            </w:tcBorders>
            <w:noWrap w:val="0"/>
            <w:vAlign w:val="center"/>
          </w:tcPr>
          <w:p w14:paraId="2E58F411">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Times New Roman" w:hAnsi="Times New Roman"/>
                <w:kern w:val="0"/>
                <w:sz w:val="24"/>
                <w:szCs w:val="28"/>
              </w:rPr>
            </w:pPr>
            <w:r>
              <w:rPr>
                <w:rFonts w:ascii="Times New Roman" w:hAnsi="Times New Roman"/>
                <w:kern w:val="0"/>
                <w:sz w:val="24"/>
                <w:szCs w:val="28"/>
              </w:rPr>
              <w:t>组长单位：县委宣传部</w:t>
            </w:r>
            <w:r>
              <w:rPr>
                <w:rFonts w:ascii="Times New Roman" w:hAnsi="Times New Roman"/>
                <w:kern w:val="0"/>
                <w:sz w:val="24"/>
                <w:szCs w:val="28"/>
              </w:rPr>
              <w:br w:type="textWrapping"/>
            </w:r>
            <w:r>
              <w:rPr>
                <w:rFonts w:ascii="Times New Roman" w:hAnsi="Times New Roman"/>
                <w:kern w:val="0"/>
                <w:sz w:val="24"/>
                <w:szCs w:val="28"/>
              </w:rPr>
              <w:t>成员单位：市生态环境局</w:t>
            </w:r>
            <w:r>
              <w:rPr>
                <w:rFonts w:hint="eastAsia" w:ascii="Times New Roman" w:hAnsi="Times New Roman"/>
                <w:kern w:val="0"/>
                <w:sz w:val="24"/>
                <w:szCs w:val="28"/>
              </w:rPr>
              <w:t>繁峙</w:t>
            </w:r>
            <w:r>
              <w:rPr>
                <w:rFonts w:ascii="Times New Roman" w:hAnsi="Times New Roman"/>
                <w:kern w:val="0"/>
                <w:sz w:val="24"/>
                <w:szCs w:val="28"/>
              </w:rPr>
              <w:t>分局、</w:t>
            </w:r>
            <w:r>
              <w:rPr>
                <w:rFonts w:ascii="Times New Roman" w:hAnsi="Times New Roman"/>
                <w:color w:val="000000"/>
                <w:kern w:val="0"/>
                <w:sz w:val="24"/>
                <w:szCs w:val="28"/>
              </w:rPr>
              <w:t>县</w:t>
            </w:r>
            <w:r>
              <w:rPr>
                <w:rFonts w:hint="eastAsia" w:ascii="Times New Roman" w:hAnsi="Times New Roman"/>
                <w:color w:val="000000"/>
                <w:kern w:val="0"/>
                <w:sz w:val="24"/>
                <w:szCs w:val="28"/>
              </w:rPr>
              <w:t>融媒体</w:t>
            </w:r>
            <w:r>
              <w:rPr>
                <w:rFonts w:ascii="Times New Roman" w:hAnsi="Times New Roman"/>
                <w:color w:val="000000"/>
                <w:kern w:val="0"/>
                <w:sz w:val="24"/>
                <w:szCs w:val="28"/>
              </w:rPr>
              <w:t>中心</w:t>
            </w:r>
            <w:r>
              <w:rPr>
                <w:rFonts w:ascii="Times New Roman" w:hAnsi="Times New Roman"/>
                <w:kern w:val="0"/>
                <w:sz w:val="24"/>
                <w:szCs w:val="28"/>
              </w:rPr>
              <w:t>、</w:t>
            </w:r>
            <w:r>
              <w:rPr>
                <w:rFonts w:hint="eastAsia" w:ascii="Times New Roman" w:hAnsi="Times New Roman"/>
                <w:color w:val="000000"/>
                <w:kern w:val="0"/>
                <w:sz w:val="24"/>
                <w:szCs w:val="28"/>
              </w:rPr>
              <w:t>县文化和旅游局、</w:t>
            </w:r>
            <w:r>
              <w:rPr>
                <w:rFonts w:ascii="Times New Roman" w:hAnsi="Times New Roman"/>
                <w:kern w:val="0"/>
                <w:sz w:val="24"/>
                <w:szCs w:val="28"/>
              </w:rPr>
              <w:t>中国移动</w:t>
            </w:r>
            <w:r>
              <w:rPr>
                <w:rFonts w:hint="eastAsia" w:ascii="Times New Roman" w:hAnsi="Times New Roman"/>
                <w:kern w:val="0"/>
                <w:sz w:val="24"/>
                <w:szCs w:val="28"/>
              </w:rPr>
              <w:t>繁峙</w:t>
            </w:r>
            <w:r>
              <w:rPr>
                <w:rFonts w:ascii="Times New Roman" w:hAnsi="Times New Roman"/>
                <w:kern w:val="0"/>
                <w:sz w:val="24"/>
                <w:szCs w:val="28"/>
              </w:rPr>
              <w:t>分公司、中国联通</w:t>
            </w:r>
            <w:r>
              <w:rPr>
                <w:rFonts w:hint="eastAsia" w:ascii="Times New Roman" w:hAnsi="Times New Roman"/>
                <w:kern w:val="0"/>
                <w:sz w:val="24"/>
                <w:szCs w:val="28"/>
              </w:rPr>
              <w:t>繁峙</w:t>
            </w:r>
            <w:r>
              <w:rPr>
                <w:rFonts w:ascii="Times New Roman" w:hAnsi="Times New Roman"/>
                <w:kern w:val="0"/>
                <w:sz w:val="24"/>
                <w:szCs w:val="28"/>
              </w:rPr>
              <w:t>分公司、中国电信</w:t>
            </w:r>
            <w:r>
              <w:rPr>
                <w:rFonts w:hint="eastAsia" w:ascii="Times New Roman" w:hAnsi="Times New Roman"/>
                <w:kern w:val="0"/>
                <w:sz w:val="24"/>
                <w:szCs w:val="28"/>
              </w:rPr>
              <w:t>繁峙</w:t>
            </w:r>
            <w:r>
              <w:rPr>
                <w:rFonts w:ascii="Times New Roman" w:hAnsi="Times New Roman"/>
                <w:kern w:val="0"/>
                <w:sz w:val="24"/>
                <w:szCs w:val="28"/>
              </w:rPr>
              <w:t>分公司、</w:t>
            </w:r>
            <w:r>
              <w:rPr>
                <w:rFonts w:ascii="Times New Roman" w:hAnsi="Times New Roman"/>
                <w:spacing w:val="-6"/>
                <w:kern w:val="0"/>
                <w:sz w:val="24"/>
                <w:szCs w:val="28"/>
              </w:rPr>
              <w:t>事发</w:t>
            </w:r>
            <w:r>
              <w:rPr>
                <w:rFonts w:hint="eastAsia" w:ascii="Times New Roman" w:hAnsi="Times New Roman"/>
                <w:spacing w:val="-6"/>
                <w:kern w:val="0"/>
                <w:sz w:val="24"/>
                <w:szCs w:val="28"/>
                <w:lang w:val="en-US" w:eastAsia="zh-CN"/>
              </w:rPr>
              <w:t>乡镇人民</w:t>
            </w:r>
            <w:r>
              <w:rPr>
                <w:rFonts w:ascii="Times New Roman" w:hAnsi="Times New Roman"/>
                <w:spacing w:val="-6"/>
                <w:kern w:val="0"/>
                <w:sz w:val="24"/>
                <w:szCs w:val="28"/>
              </w:rPr>
              <w:t>政府</w:t>
            </w:r>
            <w:r>
              <w:rPr>
                <w:rFonts w:ascii="Times New Roman" w:hAnsi="Times New Roman"/>
                <w:kern w:val="0"/>
                <w:sz w:val="24"/>
                <w:szCs w:val="28"/>
              </w:rPr>
              <w:t>和相关部门。</w:t>
            </w:r>
            <w:r>
              <w:rPr>
                <w:rFonts w:ascii="Times New Roman" w:hAnsi="Times New Roman"/>
                <w:kern w:val="0"/>
                <w:sz w:val="24"/>
                <w:szCs w:val="28"/>
              </w:rPr>
              <w:br w:type="textWrapping"/>
            </w:r>
            <w:r>
              <w:rPr>
                <w:rFonts w:ascii="Times New Roman" w:hAnsi="Times New Roman"/>
                <w:kern w:val="0"/>
                <w:sz w:val="24"/>
                <w:szCs w:val="28"/>
              </w:rPr>
              <w:t>主要职责：根据市环境应急指挥部发布的权威信息，组织协调新闻媒体做好突发环境事件应急处置的新闻报道，正确引导舆论。</w:t>
            </w:r>
          </w:p>
        </w:tc>
      </w:tr>
      <w:tr w14:paraId="7E48E68D">
        <w:tblPrEx>
          <w:tblCellMar>
            <w:top w:w="0" w:type="dxa"/>
            <w:left w:w="108" w:type="dxa"/>
            <w:bottom w:w="0" w:type="dxa"/>
            <w:right w:w="108" w:type="dxa"/>
          </w:tblCellMar>
        </w:tblPrEx>
        <w:trPr>
          <w:trHeight w:val="2938" w:hRule="atLeast"/>
        </w:trPr>
        <w:tc>
          <w:tcPr>
            <w:tcW w:w="867" w:type="pct"/>
            <w:tcBorders>
              <w:top w:val="single" w:color="auto" w:sz="4" w:space="0"/>
              <w:left w:val="single" w:color="auto" w:sz="4" w:space="0"/>
              <w:bottom w:val="single" w:color="auto" w:sz="4" w:space="0"/>
              <w:right w:val="single" w:color="auto" w:sz="4" w:space="0"/>
            </w:tcBorders>
            <w:noWrap w:val="0"/>
            <w:vAlign w:val="center"/>
          </w:tcPr>
          <w:p w14:paraId="64250C10">
            <w:pPr>
              <w:widowControl/>
              <w:jc w:val="center"/>
              <w:rPr>
                <w:rFonts w:ascii="Times New Roman" w:hAnsi="Times New Roman" w:eastAsia="黑体"/>
                <w:kern w:val="0"/>
                <w:sz w:val="28"/>
                <w:szCs w:val="28"/>
              </w:rPr>
            </w:pPr>
            <w:r>
              <w:rPr>
                <w:sz w:val="32"/>
              </w:rPr>
              <mc:AlternateContent>
                <mc:Choice Requires="wps">
                  <w:drawing>
                    <wp:anchor distT="0" distB="0" distL="114300" distR="114300" simplePos="0" relativeHeight="251660288" behindDoc="0" locked="0" layoutInCell="1" allowOverlap="1">
                      <wp:simplePos x="0" y="0"/>
                      <wp:positionH relativeFrom="column">
                        <wp:posOffset>-616585</wp:posOffset>
                      </wp:positionH>
                      <wp:positionV relativeFrom="paragraph">
                        <wp:posOffset>-159385</wp:posOffset>
                      </wp:positionV>
                      <wp:extent cx="502920" cy="6654165"/>
                      <wp:effectExtent l="0" t="0" r="0" b="0"/>
                      <wp:wrapNone/>
                      <wp:docPr id="1" name="文本框 1"/>
                      <wp:cNvGraphicFramePr/>
                      <a:graphic xmlns:a="http://schemas.openxmlformats.org/drawingml/2006/main">
                        <a:graphicData uri="http://schemas.microsoft.com/office/word/2010/wordprocessingShape">
                          <wps:wsp>
                            <wps:cNvSpPr txBox="1"/>
                            <wps:spPr>
                              <a:xfrm>
                                <a:off x="0" y="0"/>
                                <a:ext cx="502920" cy="6654165"/>
                              </a:xfrm>
                              <a:prstGeom prst="rect">
                                <a:avLst/>
                              </a:prstGeom>
                              <a:noFill/>
                              <a:ln>
                                <a:noFill/>
                              </a:ln>
                            </wps:spPr>
                            <wps:txbx>
                              <w:txbxContent>
                                <w:p w14:paraId="509E9BCD">
                                  <w:pPr>
                                    <w:rPr>
                                      <w:rFonts w:hint="default" w:eastAsia="仿宋"/>
                                      <w:lang w:val="en-US" w:eastAsia="zh-CN"/>
                                    </w:rPr>
                                  </w:pPr>
                                  <w:r>
                                    <w:rPr>
                                      <w:rFonts w:hint="eastAsia"/>
                                      <w:lang w:val="en-US" w:eastAsia="zh-CN"/>
                                    </w:rPr>
                                    <w:t xml:space="preserve"> </w:t>
                                  </w:r>
                                  <w:r>
                                    <w:rPr>
                                      <w:rFonts w:hint="eastAsia" w:ascii="宋体" w:hAnsi="宋体" w:eastAsia="宋体" w:cs="宋体"/>
                                      <w:sz w:val="28"/>
                                      <w:szCs w:val="28"/>
                                      <w:lang w:val="en-US" w:eastAsia="zh-CN"/>
                                    </w:rPr>
                                    <w:t>- 26 -</w:t>
                                  </w:r>
                                </w:p>
                              </w:txbxContent>
                            </wps:txbx>
                            <wps:bodyPr vert="eaVert" upright="1"/>
                          </wps:wsp>
                        </a:graphicData>
                      </a:graphic>
                    </wp:anchor>
                  </w:drawing>
                </mc:Choice>
                <mc:Fallback>
                  <w:pict>
                    <v:shape id="_x0000_s1026" o:spid="_x0000_s1026" o:spt="202" type="#_x0000_t202" style="position:absolute;left:0pt;margin-left:-48.55pt;margin-top:-12.55pt;height:523.95pt;width:39.6pt;z-index:251660288;mso-width-relative:page;mso-height-relative:page;" filled="f" stroked="f" coordsize="21600,21600" o:gfxdata="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hajm3AAAAAwBAAAPAAAAAAAAAAEAIAAAACIAAABkcnMvZG93bnJldi54bWxQSwECFAAU&#10;AAAACACHTuJA3XeQ9bQBAABcAwAADgAAAAAAAAABACAAAAArAQAAZHJzL2Uyb0RvYy54bWxQSwUG&#10;AAAAAAYABgBZAQAAUQUAAAAA&#10;">
                      <v:path/>
                      <v:fill on="f" focussize="0,0"/>
                      <v:stroke on="f"/>
                      <v:imagedata o:title=""/>
                      <o:lock v:ext="edit" aspectratio="f"/>
                      <v:textbox style="layout-flow:vertical-ideographic;">
                        <w:txbxContent>
                          <w:p w14:paraId="509E9BCD">
                            <w:pPr>
                              <w:rPr>
                                <w:rFonts w:hint="default" w:eastAsia="仿宋"/>
                                <w:lang w:val="en-US" w:eastAsia="zh-CN"/>
                              </w:rPr>
                            </w:pPr>
                            <w:r>
                              <w:rPr>
                                <w:rFonts w:hint="eastAsia"/>
                                <w:lang w:val="en-US" w:eastAsia="zh-CN"/>
                              </w:rPr>
                              <w:t xml:space="preserve"> </w:t>
                            </w:r>
                            <w:r>
                              <w:rPr>
                                <w:rFonts w:hint="eastAsia" w:ascii="宋体" w:hAnsi="宋体" w:eastAsia="宋体" w:cs="宋体"/>
                                <w:sz w:val="28"/>
                                <w:szCs w:val="28"/>
                                <w:lang w:val="en-US" w:eastAsia="zh-CN"/>
                              </w:rPr>
                              <w:t>- 26 -</w:t>
                            </w:r>
                          </w:p>
                        </w:txbxContent>
                      </v:textbox>
                    </v:shape>
                  </w:pict>
                </mc:Fallback>
              </mc:AlternateContent>
            </w:r>
          </w:p>
          <w:p w14:paraId="03B98987">
            <w:pPr>
              <w:widowControl/>
              <w:jc w:val="center"/>
              <w:rPr>
                <w:rFonts w:ascii="Times New Roman" w:hAnsi="Times New Roman" w:eastAsia="黑体"/>
                <w:kern w:val="0"/>
                <w:sz w:val="28"/>
                <w:szCs w:val="28"/>
              </w:rPr>
            </w:pPr>
          </w:p>
          <w:p w14:paraId="1401E3FC">
            <w:pPr>
              <w:widowControl/>
              <w:jc w:val="center"/>
              <w:rPr>
                <w:rFonts w:ascii="Times New Roman" w:hAnsi="Times New Roman" w:eastAsia="黑体"/>
                <w:kern w:val="0"/>
                <w:sz w:val="28"/>
                <w:szCs w:val="28"/>
              </w:rPr>
            </w:pPr>
            <w:r>
              <w:rPr>
                <w:rFonts w:ascii="Times New Roman" w:hAnsi="Times New Roman" w:eastAsia="黑体"/>
                <w:kern w:val="0"/>
                <w:sz w:val="28"/>
                <w:szCs w:val="28"/>
              </w:rPr>
              <w:t>社会稳定组</w:t>
            </w:r>
          </w:p>
        </w:tc>
        <w:tc>
          <w:tcPr>
            <w:tcW w:w="3879" w:type="pct"/>
            <w:tcBorders>
              <w:top w:val="single" w:color="auto" w:sz="4" w:space="0"/>
              <w:left w:val="nil"/>
              <w:bottom w:val="single" w:color="auto" w:sz="4" w:space="0"/>
              <w:right w:val="single" w:color="auto" w:sz="4" w:space="0"/>
            </w:tcBorders>
            <w:noWrap w:val="0"/>
            <w:vAlign w:val="center"/>
          </w:tcPr>
          <w:p w14:paraId="6910B3CE">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Times New Roman" w:hAnsi="Times New Roman"/>
                <w:kern w:val="0"/>
                <w:sz w:val="24"/>
                <w:szCs w:val="28"/>
              </w:rPr>
            </w:pPr>
            <w:r>
              <w:rPr>
                <w:rFonts w:ascii="Times New Roman" w:hAnsi="Times New Roman"/>
                <w:kern w:val="0"/>
                <w:sz w:val="24"/>
                <w:szCs w:val="28"/>
              </w:rPr>
              <w:t>组长单位：县公安局</w:t>
            </w:r>
            <w:r>
              <w:rPr>
                <w:rFonts w:ascii="Times New Roman" w:hAnsi="Times New Roman"/>
                <w:kern w:val="0"/>
                <w:sz w:val="24"/>
                <w:szCs w:val="28"/>
              </w:rPr>
              <w:br w:type="textWrapping"/>
            </w:r>
            <w:r>
              <w:rPr>
                <w:rFonts w:ascii="Times New Roman" w:hAnsi="Times New Roman"/>
                <w:kern w:val="0"/>
                <w:sz w:val="24"/>
                <w:szCs w:val="28"/>
              </w:rPr>
              <w:t>成员单位：</w:t>
            </w:r>
            <w:r>
              <w:rPr>
                <w:rFonts w:ascii="Times New Roman" w:hAnsi="Times New Roman"/>
                <w:color w:val="000000"/>
                <w:kern w:val="0"/>
                <w:sz w:val="24"/>
                <w:szCs w:val="28"/>
              </w:rPr>
              <w:t>县工</w:t>
            </w:r>
            <w:r>
              <w:rPr>
                <w:rFonts w:hint="eastAsia" w:ascii="Times New Roman" w:hAnsi="Times New Roman"/>
                <w:color w:val="000000"/>
                <w:kern w:val="0"/>
                <w:sz w:val="24"/>
                <w:szCs w:val="28"/>
              </w:rPr>
              <w:t>科</w:t>
            </w:r>
            <w:r>
              <w:rPr>
                <w:rFonts w:ascii="Times New Roman" w:hAnsi="Times New Roman"/>
                <w:color w:val="000000"/>
                <w:kern w:val="0"/>
                <w:sz w:val="24"/>
                <w:szCs w:val="28"/>
              </w:rPr>
              <w:t>局</w:t>
            </w:r>
            <w:r>
              <w:rPr>
                <w:rFonts w:ascii="Times New Roman" w:hAnsi="Times New Roman"/>
                <w:kern w:val="0"/>
                <w:sz w:val="24"/>
                <w:szCs w:val="28"/>
              </w:rPr>
              <w:t>、县交通运输局、</w:t>
            </w:r>
            <w:r>
              <w:rPr>
                <w:rFonts w:hint="eastAsia" w:ascii="Times New Roman" w:hAnsi="Times New Roman"/>
                <w:kern w:val="0"/>
                <w:sz w:val="24"/>
                <w:szCs w:val="28"/>
              </w:rPr>
              <w:t>国网繁峙县供电公司</w:t>
            </w:r>
            <w:r>
              <w:rPr>
                <w:rFonts w:ascii="Times New Roman" w:hAnsi="Times New Roman"/>
                <w:kern w:val="0"/>
                <w:sz w:val="24"/>
                <w:szCs w:val="28"/>
              </w:rPr>
              <w:t>、忻州武警支队</w:t>
            </w:r>
            <w:r>
              <w:rPr>
                <w:rFonts w:hint="eastAsia" w:ascii="Times New Roman" w:hAnsi="Times New Roman"/>
                <w:kern w:val="0"/>
                <w:sz w:val="24"/>
                <w:szCs w:val="28"/>
              </w:rPr>
              <w:t>繁峙</w:t>
            </w:r>
            <w:r>
              <w:rPr>
                <w:rFonts w:ascii="Times New Roman" w:hAnsi="Times New Roman"/>
                <w:kern w:val="0"/>
                <w:sz w:val="24"/>
                <w:szCs w:val="28"/>
              </w:rPr>
              <w:t>中队、</w:t>
            </w:r>
            <w:r>
              <w:rPr>
                <w:rFonts w:ascii="Times New Roman" w:hAnsi="Times New Roman"/>
                <w:spacing w:val="-6"/>
                <w:kern w:val="0"/>
                <w:sz w:val="24"/>
                <w:szCs w:val="28"/>
              </w:rPr>
              <w:t>事发</w:t>
            </w:r>
            <w:r>
              <w:rPr>
                <w:rFonts w:hint="eastAsia" w:ascii="Times New Roman" w:hAnsi="Times New Roman"/>
                <w:spacing w:val="-6"/>
                <w:kern w:val="0"/>
                <w:sz w:val="24"/>
                <w:szCs w:val="28"/>
                <w:lang w:val="en-US" w:eastAsia="zh-CN"/>
              </w:rPr>
              <w:t>乡镇人民</w:t>
            </w:r>
            <w:r>
              <w:rPr>
                <w:rFonts w:ascii="Times New Roman" w:hAnsi="Times New Roman"/>
                <w:spacing w:val="-6"/>
                <w:kern w:val="0"/>
                <w:sz w:val="24"/>
                <w:szCs w:val="28"/>
              </w:rPr>
              <w:t>政府</w:t>
            </w:r>
            <w:r>
              <w:rPr>
                <w:rFonts w:ascii="Times New Roman" w:hAnsi="Times New Roman"/>
                <w:kern w:val="0"/>
                <w:sz w:val="24"/>
                <w:szCs w:val="28"/>
              </w:rPr>
              <w:t>和相关部门。</w:t>
            </w:r>
            <w:r>
              <w:rPr>
                <w:rFonts w:ascii="Times New Roman" w:hAnsi="Times New Roman"/>
                <w:kern w:val="0"/>
                <w:sz w:val="24"/>
                <w:szCs w:val="28"/>
              </w:rPr>
              <w:br w:type="textWrapping"/>
            </w:r>
            <w:r>
              <w:rPr>
                <w:rFonts w:ascii="Times New Roman" w:hAnsi="Times New Roman"/>
                <w:kern w:val="0"/>
                <w:sz w:val="24"/>
                <w:szCs w:val="28"/>
              </w:rPr>
              <w:t>主要职责：加强受影响地</w:t>
            </w:r>
            <w:r>
              <w:rPr>
                <w:rFonts w:hint="eastAsia" w:ascii="Times New Roman" w:hAnsi="Times New Roman"/>
                <w:kern w:val="0"/>
                <w:sz w:val="24"/>
                <w:szCs w:val="28"/>
              </w:rPr>
              <w:t>区的</w:t>
            </w:r>
            <w:r>
              <w:rPr>
                <w:rFonts w:ascii="Times New Roman" w:hAnsi="Times New Roman"/>
                <w:kern w:val="0"/>
                <w:sz w:val="24"/>
                <w:szCs w:val="28"/>
              </w:rPr>
              <w:t>社会治安管理，严厉打击借机传播谣言制造社会恐慌、哄抢物资等违法犯罪行为；加强转移人员安置点、救灾物资存放点等重点地区治安管控；做好受影响人员与涉事单位、事发地人民政府及有关部门矛盾纠纷化解和法律服务工作，防止出现群体性事件，维护社会稳定；加强对重要生活必需品等商品的市场监管和调控，打击囤积居奇行为。</w:t>
            </w:r>
          </w:p>
        </w:tc>
      </w:tr>
      <w:tr w14:paraId="5D8D606C">
        <w:tblPrEx>
          <w:tblCellMar>
            <w:top w:w="0" w:type="dxa"/>
            <w:left w:w="108" w:type="dxa"/>
            <w:bottom w:w="0" w:type="dxa"/>
            <w:right w:w="108" w:type="dxa"/>
          </w:tblCellMar>
        </w:tblPrEx>
        <w:trPr>
          <w:trHeight w:val="2273" w:hRule="atLeast"/>
        </w:trPr>
        <w:tc>
          <w:tcPr>
            <w:tcW w:w="867" w:type="pct"/>
            <w:tcBorders>
              <w:top w:val="single" w:color="auto" w:sz="4" w:space="0"/>
              <w:left w:val="single" w:color="auto" w:sz="4" w:space="0"/>
              <w:bottom w:val="single" w:color="auto" w:sz="4" w:space="0"/>
              <w:right w:val="single" w:color="auto" w:sz="4" w:space="0"/>
            </w:tcBorders>
            <w:noWrap w:val="0"/>
            <w:vAlign w:val="center"/>
          </w:tcPr>
          <w:p w14:paraId="7F4568A5">
            <w:pPr>
              <w:widowControl/>
              <w:jc w:val="center"/>
              <w:rPr>
                <w:rFonts w:ascii="Times New Roman" w:hAnsi="Times New Roman" w:eastAsia="黑体"/>
                <w:kern w:val="0"/>
                <w:sz w:val="28"/>
                <w:szCs w:val="28"/>
              </w:rPr>
            </w:pPr>
            <w:r>
              <w:rPr>
                <w:rFonts w:ascii="Times New Roman" w:hAnsi="Times New Roman" w:eastAsia="黑体"/>
                <w:kern w:val="0"/>
                <w:sz w:val="28"/>
                <w:szCs w:val="28"/>
              </w:rPr>
              <w:t>调查评估组</w:t>
            </w:r>
          </w:p>
        </w:tc>
        <w:tc>
          <w:tcPr>
            <w:tcW w:w="3879" w:type="pct"/>
            <w:tcBorders>
              <w:top w:val="single" w:color="auto" w:sz="4" w:space="0"/>
              <w:left w:val="nil"/>
              <w:bottom w:val="single" w:color="auto" w:sz="4" w:space="0"/>
              <w:right w:val="single" w:color="auto" w:sz="4" w:space="0"/>
            </w:tcBorders>
            <w:noWrap w:val="0"/>
            <w:vAlign w:val="center"/>
          </w:tcPr>
          <w:p w14:paraId="5F654455">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Times New Roman" w:hAnsi="Times New Roman"/>
                <w:kern w:val="0"/>
                <w:sz w:val="24"/>
                <w:szCs w:val="28"/>
              </w:rPr>
            </w:pPr>
            <w:r>
              <w:rPr>
                <w:rFonts w:ascii="Times New Roman" w:hAnsi="Times New Roman"/>
                <w:kern w:val="0"/>
                <w:sz w:val="24"/>
                <w:szCs w:val="28"/>
              </w:rPr>
              <w:t>组长单位：市生态环境局</w:t>
            </w:r>
            <w:r>
              <w:rPr>
                <w:rFonts w:hint="eastAsia" w:ascii="Times New Roman" w:hAnsi="Times New Roman"/>
                <w:kern w:val="0"/>
                <w:sz w:val="24"/>
                <w:szCs w:val="28"/>
              </w:rPr>
              <w:t>繁峙</w:t>
            </w:r>
            <w:r>
              <w:rPr>
                <w:rFonts w:ascii="Times New Roman" w:hAnsi="Times New Roman"/>
                <w:kern w:val="0"/>
                <w:sz w:val="24"/>
                <w:szCs w:val="28"/>
              </w:rPr>
              <w:t>分局</w:t>
            </w:r>
            <w:r>
              <w:rPr>
                <w:rFonts w:ascii="Times New Roman" w:hAnsi="Times New Roman"/>
                <w:kern w:val="0"/>
                <w:sz w:val="24"/>
                <w:szCs w:val="28"/>
              </w:rPr>
              <w:br w:type="textWrapping"/>
            </w:r>
            <w:r>
              <w:rPr>
                <w:rFonts w:ascii="Times New Roman" w:hAnsi="Times New Roman"/>
                <w:kern w:val="0"/>
                <w:sz w:val="24"/>
                <w:szCs w:val="28"/>
              </w:rPr>
              <w:t>成员单位：县公安局、</w:t>
            </w:r>
            <w:r>
              <w:rPr>
                <w:rFonts w:hint="eastAsia" w:ascii="Times New Roman" w:hAnsi="Times New Roman"/>
                <w:kern w:val="0"/>
                <w:sz w:val="24"/>
                <w:szCs w:val="28"/>
              </w:rPr>
              <w:t>县应急局</w:t>
            </w:r>
            <w:r>
              <w:rPr>
                <w:rFonts w:ascii="Times New Roman" w:hAnsi="Times New Roman"/>
                <w:kern w:val="0"/>
                <w:sz w:val="24"/>
                <w:szCs w:val="28"/>
              </w:rPr>
              <w:t>、县交通运输局、县水利局、县农业农村局、</w:t>
            </w:r>
            <w:r>
              <w:rPr>
                <w:rFonts w:hint="eastAsia" w:ascii="Times New Roman" w:hAnsi="Times New Roman"/>
                <w:kern w:val="0"/>
                <w:sz w:val="24"/>
                <w:szCs w:val="28"/>
              </w:rPr>
              <w:t>县卫健局</w:t>
            </w:r>
            <w:r>
              <w:rPr>
                <w:rFonts w:ascii="Times New Roman" w:hAnsi="Times New Roman"/>
                <w:kern w:val="0"/>
                <w:sz w:val="24"/>
                <w:szCs w:val="28"/>
              </w:rPr>
              <w:t>、县自然资源局、</w:t>
            </w:r>
            <w:r>
              <w:rPr>
                <w:rFonts w:hint="eastAsia" w:ascii="Times New Roman" w:hAnsi="Times New Roman"/>
                <w:kern w:val="0"/>
                <w:sz w:val="24"/>
                <w:szCs w:val="28"/>
              </w:rPr>
              <w:t>县林业局、</w:t>
            </w:r>
            <w:r>
              <w:rPr>
                <w:rFonts w:ascii="Times New Roman" w:hAnsi="Times New Roman"/>
                <w:spacing w:val="-6"/>
                <w:kern w:val="0"/>
                <w:sz w:val="24"/>
                <w:szCs w:val="28"/>
              </w:rPr>
              <w:t>事发</w:t>
            </w:r>
            <w:r>
              <w:rPr>
                <w:rFonts w:hint="eastAsia" w:ascii="Times New Roman" w:hAnsi="Times New Roman"/>
                <w:spacing w:val="-6"/>
                <w:kern w:val="0"/>
                <w:sz w:val="24"/>
                <w:szCs w:val="28"/>
                <w:lang w:val="en-US" w:eastAsia="zh-CN"/>
              </w:rPr>
              <w:t>乡镇人民</w:t>
            </w:r>
            <w:r>
              <w:rPr>
                <w:rFonts w:ascii="Times New Roman" w:hAnsi="Times New Roman"/>
                <w:spacing w:val="-6"/>
                <w:kern w:val="0"/>
                <w:sz w:val="24"/>
                <w:szCs w:val="28"/>
              </w:rPr>
              <w:t>政府</w:t>
            </w:r>
            <w:r>
              <w:rPr>
                <w:rFonts w:ascii="Times New Roman" w:hAnsi="Times New Roman"/>
                <w:kern w:val="0"/>
                <w:sz w:val="24"/>
                <w:szCs w:val="28"/>
              </w:rPr>
              <w:t>和相关部门。</w:t>
            </w:r>
            <w:r>
              <w:rPr>
                <w:rFonts w:ascii="Times New Roman" w:hAnsi="Times New Roman"/>
                <w:kern w:val="0"/>
                <w:sz w:val="24"/>
                <w:szCs w:val="28"/>
              </w:rPr>
              <w:br w:type="textWrapping"/>
            </w:r>
            <w:r>
              <w:rPr>
                <w:rFonts w:ascii="Times New Roman" w:hAnsi="Times New Roman"/>
                <w:kern w:val="0"/>
                <w:sz w:val="24"/>
                <w:szCs w:val="28"/>
              </w:rPr>
              <w:t>主要职责：配合生态环境部开展特别重大和重大突发环境事件的调查处理；配合省生态环境厅开展较大突发环境事件的调查处理；配合市生态环境局开展一般突发环境事件的调查处理。包括对事件的原因、性质、责任的调查处理；组织开展一般环境事件的污染损害评估工作。</w:t>
            </w:r>
          </w:p>
        </w:tc>
      </w:tr>
      <w:tr w14:paraId="0A027DA1">
        <w:tblPrEx>
          <w:tblCellMar>
            <w:top w:w="0" w:type="dxa"/>
            <w:left w:w="108" w:type="dxa"/>
            <w:bottom w:w="0" w:type="dxa"/>
            <w:right w:w="108" w:type="dxa"/>
          </w:tblCellMar>
        </w:tblPrEx>
        <w:trPr>
          <w:trHeight w:val="2394" w:hRule="atLeast"/>
        </w:trPr>
        <w:tc>
          <w:tcPr>
            <w:tcW w:w="867" w:type="pct"/>
            <w:tcBorders>
              <w:top w:val="single" w:color="auto" w:sz="4" w:space="0"/>
              <w:left w:val="single" w:color="auto" w:sz="4" w:space="0"/>
              <w:bottom w:val="single" w:color="auto" w:sz="4" w:space="0"/>
              <w:right w:val="single" w:color="auto" w:sz="4" w:space="0"/>
            </w:tcBorders>
            <w:noWrap w:val="0"/>
            <w:vAlign w:val="center"/>
          </w:tcPr>
          <w:p w14:paraId="2FB9F69C">
            <w:pPr>
              <w:widowControl/>
              <w:jc w:val="center"/>
              <w:rPr>
                <w:rFonts w:ascii="Times New Roman" w:hAnsi="Times New Roman" w:eastAsia="黑体"/>
                <w:kern w:val="0"/>
                <w:sz w:val="28"/>
                <w:szCs w:val="28"/>
              </w:rPr>
            </w:pPr>
            <w:r>
              <w:rPr>
                <w:rFonts w:ascii="Times New Roman" w:hAnsi="Times New Roman" w:eastAsia="黑体"/>
                <w:kern w:val="0"/>
                <w:sz w:val="28"/>
                <w:szCs w:val="28"/>
              </w:rPr>
              <w:t>专家组</w:t>
            </w:r>
          </w:p>
        </w:tc>
        <w:tc>
          <w:tcPr>
            <w:tcW w:w="3879" w:type="pct"/>
            <w:tcBorders>
              <w:top w:val="single" w:color="auto" w:sz="4" w:space="0"/>
              <w:left w:val="nil"/>
              <w:bottom w:val="single" w:color="auto" w:sz="4" w:space="0"/>
              <w:right w:val="single" w:color="auto" w:sz="4" w:space="0"/>
            </w:tcBorders>
            <w:noWrap w:val="0"/>
            <w:vAlign w:val="center"/>
          </w:tcPr>
          <w:p w14:paraId="28C22131">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ascii="Times New Roman" w:hAnsi="Times New Roman"/>
                <w:kern w:val="0"/>
                <w:sz w:val="24"/>
                <w:szCs w:val="28"/>
              </w:rPr>
            </w:pPr>
            <w:r>
              <w:rPr>
                <w:rFonts w:ascii="Times New Roman" w:hAnsi="Times New Roman"/>
                <w:kern w:val="0"/>
                <w:sz w:val="24"/>
                <w:szCs w:val="28"/>
              </w:rPr>
              <w:t>组长单位、成员单位：县应急指挥部负责组织环境监测、危险化学品、生态环境保护、核与辐射、环境评估、防化、气象、生物、水利水文、农业、卫生、损害索赔等专业的专家。</w:t>
            </w:r>
            <w:r>
              <w:rPr>
                <w:rFonts w:ascii="Times New Roman" w:hAnsi="Times New Roman"/>
                <w:kern w:val="0"/>
                <w:sz w:val="24"/>
                <w:szCs w:val="28"/>
              </w:rPr>
              <w:br w:type="textWrapping"/>
            </w:r>
            <w:r>
              <w:rPr>
                <w:rFonts w:ascii="Times New Roman" w:hAnsi="Times New Roman"/>
                <w:kern w:val="0"/>
                <w:sz w:val="24"/>
                <w:szCs w:val="28"/>
              </w:rPr>
              <w:t>主要职责：明确突发环境事件性质和类别；分析突发环境事件的发展趋势及其对人群健康或环境的影响；确定突发环境事件级别；研究、评估污染处置、人员撤离等工作方案；对生态修复和恢复重建等提出建议。</w:t>
            </w:r>
            <w:r>
              <w:rPr>
                <w:rFonts w:ascii="Times New Roman" w:hAnsi="Times New Roman"/>
                <w:kern w:val="0"/>
                <w:sz w:val="24"/>
                <w:szCs w:val="28"/>
              </w:rPr>
              <w:br w:type="textWrapping"/>
            </w:r>
            <w:r>
              <w:rPr>
                <w:rFonts w:ascii="Times New Roman" w:hAnsi="Times New Roman"/>
                <w:kern w:val="0"/>
                <w:sz w:val="24"/>
                <w:szCs w:val="28"/>
              </w:rPr>
              <w:t>各组组长单位和成员单位由指挥部指挥长根据实际情况进行确定和调整。</w:t>
            </w:r>
          </w:p>
        </w:tc>
      </w:tr>
    </w:tbl>
    <w:p w14:paraId="6F3B7EAC">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7F3E28"/>
    <w:rsid w:val="2E7F3E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 w:cs="Times New Roman"/>
      <w:kern w:val="2"/>
      <w:sz w:val="32"/>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1"/>
    <w:qFormat/>
    <w:uiPriority w:val="0"/>
    <w:pPr>
      <w:spacing w:afterLines="0" w:afterAutospacing="0"/>
      <w:ind w:left="0" w:leftChars="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2025-03-12T08:29:00Z</dcterms:created>
  <dc:creator>左</dc:creator>
  <cp:lastModifiedBy>左</cp:lastModifiedBy>
  <dcterms:modified xsi:type="dcterms:W3CDTF">2025-03-12T08:29:31Z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60B5C20167304A76B8DD2944492FF65E_11</vt:lpwstr>
  </property>
  <property fmtid="{D5CDD505-2E9C-101B-9397-08002B2CF9AE}" pid="4" name="KSOTemplateDocerSaveRecord">
    <vt:lpwstr>eyJoZGlkIjoiYTRiOTM3M2Q2NDY2ZWFhZGMxNzhmOTcyN2M4MzdhYTciLCJ1c2VySWQiOiIzODkyMDEzMDEifQ==</vt:lpwstr>
  </property>
</Properties>
</file>