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230" w:type="pct"/>
        <w:tblInd w:w="89" w:type="dxa"/>
        <w:tblLayout w:type="autofit"/>
        <w:tblCellMar>
          <w:top w:w="0" w:type="dxa"/>
          <w:left w:w="108" w:type="dxa"/>
          <w:bottom w:w="0" w:type="dxa"/>
          <w:right w:w="108" w:type="dxa"/>
        </w:tblCellMar>
      </w:tblPr>
      <w:tblGrid>
        <w:gridCol w:w="3594"/>
        <w:gridCol w:w="3909"/>
        <w:gridCol w:w="3616"/>
        <w:gridCol w:w="3517"/>
      </w:tblGrid>
      <w:tr w14:paraId="58C4FECA">
        <w:tblPrEx>
          <w:tblCellMar>
            <w:top w:w="0" w:type="dxa"/>
            <w:left w:w="108" w:type="dxa"/>
            <w:bottom w:w="0" w:type="dxa"/>
            <w:right w:w="108" w:type="dxa"/>
          </w:tblCellMar>
        </w:tblPrEx>
        <w:trPr>
          <w:trHeight w:val="582" w:hRule="atLeast"/>
        </w:trPr>
        <w:tc>
          <w:tcPr>
            <w:tcW w:w="4699" w:type="pct"/>
            <w:gridSpan w:val="4"/>
            <w:tcBorders>
              <w:top w:val="nil"/>
              <w:left w:val="nil"/>
              <w:bottom w:val="single" w:color="auto" w:sz="4" w:space="0"/>
              <w:right w:val="nil"/>
            </w:tcBorders>
            <w:noWrap w:val="0"/>
            <w:vAlign w:val="center"/>
          </w:tcPr>
          <w:p w14:paraId="1A3316B2">
            <w:pPr>
              <w:widowControl/>
              <w:jc w:val="center"/>
              <w:rPr>
                <w:rFonts w:ascii="Times New Roman" w:hAnsi="Times New Roman"/>
                <w:b/>
                <w:bCs/>
                <w:color w:val="000000"/>
                <w:kern w:val="0"/>
                <w:sz w:val="48"/>
                <w:szCs w:val="48"/>
              </w:rPr>
            </w:pPr>
            <w:r>
              <w:rPr>
                <w:sz w:val="32"/>
              </w:rPr>
              <mc:AlternateContent>
                <mc:Choice Requires="wps">
                  <w:drawing>
                    <wp:anchor distT="0" distB="0" distL="114300" distR="114300" simplePos="0" relativeHeight="251660288" behindDoc="0" locked="0" layoutInCell="1" allowOverlap="1">
                      <wp:simplePos x="0" y="0"/>
                      <wp:positionH relativeFrom="column">
                        <wp:posOffset>-617855</wp:posOffset>
                      </wp:positionH>
                      <wp:positionV relativeFrom="paragraph">
                        <wp:posOffset>-216535</wp:posOffset>
                      </wp:positionV>
                      <wp:extent cx="502920" cy="66541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2920" cy="6654165"/>
                              </a:xfrm>
                              <a:prstGeom prst="rect">
                                <a:avLst/>
                              </a:prstGeom>
                              <a:noFill/>
                              <a:ln>
                                <a:noFill/>
                              </a:ln>
                            </wps:spPr>
                            <wps:txbx>
                              <w:txbxContent>
                                <w:p w14:paraId="2F7AB756">
                                  <w:pPr>
                                    <w:rPr>
                                      <w:rFonts w:hint="default" w:eastAsia="仿宋"/>
                                      <w:lang w:val="en-US" w:eastAsia="zh-CN"/>
                                    </w:rPr>
                                  </w:pPr>
                                  <w:r>
                                    <w:rPr>
                                      <w:rFonts w:hint="eastAsia"/>
                                      <w:lang w:val="en-US" w:eastAsia="zh-CN"/>
                                    </w:rPr>
                                    <w:t xml:space="preserve">  </w:t>
                                  </w:r>
                                  <w:r>
                                    <w:rPr>
                                      <w:rFonts w:hint="eastAsia" w:ascii="宋体" w:hAnsi="宋体" w:eastAsia="宋体" w:cs="宋体"/>
                                      <w:sz w:val="28"/>
                                      <w:szCs w:val="28"/>
                                      <w:lang w:val="en-US" w:eastAsia="zh-CN"/>
                                    </w:rPr>
                                    <w:t>- 28 -</w:t>
                                  </w:r>
                                </w:p>
                              </w:txbxContent>
                            </wps:txbx>
                            <wps:bodyPr vert="eaVert" upright="1"/>
                          </wps:wsp>
                        </a:graphicData>
                      </a:graphic>
                    </wp:anchor>
                  </w:drawing>
                </mc:Choice>
                <mc:Fallback>
                  <w:pict>
                    <v:shape id="_x0000_s1026" o:spid="_x0000_s1026" o:spt="202" type="#_x0000_t202" style="position:absolute;left:0pt;margin-left:-48.65pt;margin-top:-17.05pt;height:523.95pt;width:39.6pt;z-index:251660288;mso-width-relative:page;mso-height-relative:page;" filled="f" stroked="f" coordsize="21600,21600" o:gfxdata="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sFm6NwAAAAMAQAADwAAAAAAAAABACAAAAAiAAAAZHJzL2Rvd25yZXYueG1sUEsBAhQA&#10;FAAAAAgAh07iQF3fKae1AQAAXAMAAA4AAAAAAAAAAQAgAAAAKwEAAGRycy9lMm9Eb2MueG1sUEsF&#10;BgAAAAAGAAYAWQEAAFIFAAAAAA==&#10;">
                      <v:path/>
                      <v:fill on="f" focussize="0,0"/>
                      <v:stroke on="f"/>
                      <v:imagedata o:title=""/>
                      <o:lock v:ext="edit" aspectratio="f"/>
                      <v:textbox style="layout-flow:vertical-ideographic;">
                        <w:txbxContent>
                          <w:p w14:paraId="2F7AB756">
                            <w:pPr>
                              <w:rPr>
                                <w:rFonts w:hint="default" w:eastAsia="仿宋"/>
                                <w:lang w:val="en-US" w:eastAsia="zh-CN"/>
                              </w:rPr>
                            </w:pPr>
                            <w:r>
                              <w:rPr>
                                <w:rFonts w:hint="eastAsia"/>
                                <w:lang w:val="en-US" w:eastAsia="zh-CN"/>
                              </w:rPr>
                              <w:t xml:space="preserve">  </w:t>
                            </w:r>
                            <w:r>
                              <w:rPr>
                                <w:rFonts w:hint="eastAsia" w:ascii="宋体" w:hAnsi="宋体" w:eastAsia="宋体" w:cs="宋体"/>
                                <w:sz w:val="28"/>
                                <w:szCs w:val="28"/>
                                <w:lang w:val="en-US" w:eastAsia="zh-CN"/>
                              </w:rPr>
                              <w:t>- 28 -</w:t>
                            </w:r>
                          </w:p>
                        </w:txbxContent>
                      </v:textbox>
                    </v:shape>
                  </w:pict>
                </mc:Fallback>
              </mc:AlternateContent>
            </w:r>
            <w:r>
              <w:rPr>
                <w:rFonts w:hint="eastAsia" w:ascii="方正小标宋简体" w:hAnsi="方正小标宋简体" w:eastAsia="方正小标宋简体" w:cs="方正小标宋简体"/>
                <w:sz w:val="44"/>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-522605</wp:posOffset>
                      </wp:positionV>
                      <wp:extent cx="1258570" cy="5029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58570" cy="502920"/>
                              </a:xfrm>
                              <a:prstGeom prst="rect">
                                <a:avLst/>
                              </a:prstGeom>
                              <a:noFill/>
                              <a:ln>
                                <a:noFill/>
                              </a:ln>
                            </wps:spPr>
                            <wps:txbx>
                              <w:txbxContent>
                                <w:p w14:paraId="535A0F1F">
                                  <w:pPr>
                                    <w:rPr>
                                      <w:rFonts w:hint="eastAsia" w:ascii="黑体" w:hAnsi="黑体" w:eastAsia="黑体" w:cs="黑体"/>
                                    </w:rPr>
                                  </w:pPr>
                                  <w:r>
                                    <w:rPr>
                                      <w:rFonts w:hint="eastAsia" w:ascii="黑体" w:hAnsi="黑体" w:eastAsia="黑体" w:cs="黑体"/>
                                    </w:rPr>
                                    <w:t>附件5：</w:t>
                                  </w:r>
                                </w:p>
                              </w:txbxContent>
                            </wps:txbx>
                            <wps:bodyPr upright="1"/>
                          </wps:wsp>
                        </a:graphicData>
                      </a:graphic>
                    </wp:anchor>
                  </w:drawing>
                </mc:Choice>
                <mc:Fallback>
                  <w:pict>
                    <v:shape id="_x0000_s1026" o:spid="_x0000_s1026" o:spt="202" type="#_x0000_t202" style="position:absolute;left:0pt;margin-left:-3.8pt;margin-top:-41.15pt;height:39.6pt;width:99.1pt;z-index:251659264;mso-width-relative:page;mso-height-relative:page;" filled="f" stroked="f" coordsize="21600,21600" o:gfxdata="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lHHDm1gAAAAkB&#10;AAAPAAAAAAAAAAEAIAAAACIAAABkcnMvZG93bnJldi54bWxQSwECFAAUAAAACACHTuJAfMqrZqsB&#10;AABOAwAADgAAAAAAAAABACAAAAAlAQAAZHJzL2Uyb0RvYy54bWxQSwUGAAAAAAYABgBZAQAAQgUA&#10;AAAA&#10;">
                      <v:path/>
                      <v:fill on="f" focussize="0,0"/>
                      <v:stroke on="f"/>
                      <v:imagedata o:title=""/>
                      <o:lock v:ext="edit" aspectratio="f"/>
                      <v:textbox>
                        <w:txbxContent>
                          <w:p w14:paraId="535A0F1F">
                            <w:pPr>
                              <w:rPr>
                                <w:rFonts w:hint="eastAsia" w:ascii="黑体" w:hAnsi="黑体" w:eastAsia="黑体" w:cs="黑体"/>
                              </w:rPr>
                            </w:pPr>
                            <w:r>
                              <w:rPr>
                                <w:rFonts w:hint="eastAsia" w:ascii="黑体" w:hAnsi="黑体" w:eastAsia="黑体" w:cs="黑体"/>
                              </w:rPr>
                              <w:t>附件5：</w:t>
                            </w:r>
                          </w:p>
                        </w:txbxContent>
                      </v:textbox>
                    </v:shape>
                  </w:pict>
                </mc:Fallback>
              </mc:AlternateContent>
            </w:r>
            <w:r>
              <w:rPr>
                <w:rFonts w:hint="eastAsia" w:ascii="方正小标宋简体" w:hAnsi="方正小标宋简体" w:eastAsia="方正小标宋简体" w:cs="方正小标宋简体"/>
                <w:color w:val="000000"/>
                <w:kern w:val="0"/>
                <w:sz w:val="44"/>
                <w:szCs w:val="44"/>
              </w:rPr>
              <w:t>突发环境事件分级标准表</w:t>
            </w:r>
          </w:p>
        </w:tc>
      </w:tr>
      <w:tr w14:paraId="7E5C90C4">
        <w:tblPrEx>
          <w:tblCellMar>
            <w:top w:w="0" w:type="dxa"/>
            <w:left w:w="108" w:type="dxa"/>
            <w:bottom w:w="0" w:type="dxa"/>
            <w:right w:w="108" w:type="dxa"/>
          </w:tblCellMar>
        </w:tblPrEx>
        <w:trPr>
          <w:trHeight w:val="979" w:hRule="atLeast"/>
        </w:trPr>
        <w:tc>
          <w:tcPr>
            <w:tcW w:w="1154" w:type="pct"/>
            <w:tcBorders>
              <w:top w:val="nil"/>
              <w:left w:val="single" w:color="auto" w:sz="4" w:space="0"/>
              <w:bottom w:val="single" w:color="auto" w:sz="4" w:space="0"/>
              <w:right w:val="single" w:color="auto" w:sz="4" w:space="0"/>
            </w:tcBorders>
            <w:noWrap w:val="0"/>
            <w:vAlign w:val="center"/>
          </w:tcPr>
          <w:p w14:paraId="45BDF20A">
            <w:pPr>
              <w:widowControl/>
              <w:jc w:val="center"/>
              <w:rPr>
                <w:rFonts w:ascii="Times New Roman" w:hAnsi="Times New Roman" w:eastAsia="黑体"/>
                <w:kern w:val="0"/>
                <w:sz w:val="28"/>
              </w:rPr>
            </w:pPr>
            <w:r>
              <w:rPr>
                <w:rFonts w:ascii="Times New Roman" w:hAnsi="Times New Roman" w:eastAsia="黑体"/>
                <w:kern w:val="0"/>
                <w:sz w:val="28"/>
              </w:rPr>
              <w:t>特别重大突发环境事件</w:t>
            </w:r>
          </w:p>
        </w:tc>
        <w:tc>
          <w:tcPr>
            <w:tcW w:w="1255" w:type="pct"/>
            <w:tcBorders>
              <w:top w:val="nil"/>
              <w:left w:val="nil"/>
              <w:bottom w:val="single" w:color="auto" w:sz="4" w:space="0"/>
              <w:right w:val="single" w:color="auto" w:sz="4" w:space="0"/>
            </w:tcBorders>
            <w:noWrap w:val="0"/>
            <w:vAlign w:val="center"/>
          </w:tcPr>
          <w:p w14:paraId="2F92A61A">
            <w:pPr>
              <w:widowControl/>
              <w:jc w:val="center"/>
              <w:rPr>
                <w:rFonts w:ascii="Times New Roman" w:hAnsi="Times New Roman" w:eastAsia="黑体"/>
                <w:kern w:val="0"/>
                <w:sz w:val="28"/>
              </w:rPr>
            </w:pPr>
            <w:r>
              <w:rPr>
                <w:rFonts w:ascii="Times New Roman" w:hAnsi="Times New Roman" w:eastAsia="黑体"/>
                <w:kern w:val="0"/>
                <w:sz w:val="28"/>
              </w:rPr>
              <w:t>重大</w:t>
            </w:r>
            <w:r>
              <w:rPr>
                <w:rFonts w:hint="eastAsia" w:ascii="Times New Roman" w:hAnsi="Times New Roman" w:eastAsia="黑体"/>
                <w:kern w:val="0"/>
                <w:sz w:val="28"/>
                <w:lang w:val="en-US" w:eastAsia="zh-CN"/>
              </w:rPr>
              <w:t>突发</w:t>
            </w:r>
            <w:r>
              <w:rPr>
                <w:rFonts w:ascii="Times New Roman" w:hAnsi="Times New Roman" w:eastAsia="黑体"/>
                <w:kern w:val="0"/>
                <w:sz w:val="28"/>
              </w:rPr>
              <w:t>环境事件</w:t>
            </w:r>
          </w:p>
        </w:tc>
        <w:tc>
          <w:tcPr>
            <w:tcW w:w="1161" w:type="pct"/>
            <w:tcBorders>
              <w:top w:val="nil"/>
              <w:left w:val="nil"/>
              <w:bottom w:val="single" w:color="auto" w:sz="4" w:space="0"/>
              <w:right w:val="single" w:color="auto" w:sz="4" w:space="0"/>
            </w:tcBorders>
            <w:noWrap w:val="0"/>
            <w:vAlign w:val="center"/>
          </w:tcPr>
          <w:p w14:paraId="5CF30490">
            <w:pPr>
              <w:widowControl/>
              <w:jc w:val="center"/>
              <w:rPr>
                <w:rFonts w:ascii="Times New Roman" w:hAnsi="Times New Roman" w:eastAsia="黑体"/>
                <w:kern w:val="0"/>
                <w:sz w:val="28"/>
              </w:rPr>
            </w:pPr>
            <w:r>
              <w:rPr>
                <w:rFonts w:ascii="Times New Roman" w:hAnsi="Times New Roman" w:eastAsia="黑体"/>
                <w:kern w:val="0"/>
                <w:sz w:val="28"/>
              </w:rPr>
              <w:t>较大</w:t>
            </w:r>
            <w:r>
              <w:rPr>
                <w:rFonts w:hint="eastAsia" w:ascii="Times New Roman" w:hAnsi="Times New Roman" w:eastAsia="黑体"/>
                <w:kern w:val="0"/>
                <w:sz w:val="28"/>
                <w:lang w:val="en-US" w:eastAsia="zh-CN"/>
              </w:rPr>
              <w:t>突发</w:t>
            </w:r>
            <w:r>
              <w:rPr>
                <w:rFonts w:ascii="Times New Roman" w:hAnsi="Times New Roman" w:eastAsia="黑体"/>
                <w:kern w:val="0"/>
                <w:sz w:val="28"/>
              </w:rPr>
              <w:t>环境事件</w:t>
            </w:r>
          </w:p>
        </w:tc>
        <w:tc>
          <w:tcPr>
            <w:tcW w:w="1127" w:type="pct"/>
            <w:tcBorders>
              <w:top w:val="nil"/>
              <w:left w:val="nil"/>
              <w:bottom w:val="single" w:color="auto" w:sz="4" w:space="0"/>
              <w:right w:val="single" w:color="auto" w:sz="4" w:space="0"/>
            </w:tcBorders>
            <w:noWrap w:val="0"/>
            <w:vAlign w:val="center"/>
          </w:tcPr>
          <w:p w14:paraId="349477E8">
            <w:pPr>
              <w:widowControl/>
              <w:jc w:val="center"/>
              <w:rPr>
                <w:rFonts w:ascii="Times New Roman" w:hAnsi="Times New Roman" w:eastAsia="黑体"/>
                <w:kern w:val="0"/>
                <w:sz w:val="28"/>
              </w:rPr>
            </w:pPr>
            <w:r>
              <w:rPr>
                <w:rFonts w:ascii="Times New Roman" w:hAnsi="Times New Roman" w:eastAsia="黑体"/>
                <w:kern w:val="0"/>
                <w:sz w:val="28"/>
              </w:rPr>
              <w:t>一般</w:t>
            </w:r>
            <w:r>
              <w:rPr>
                <w:rFonts w:hint="eastAsia" w:ascii="Times New Roman" w:hAnsi="Times New Roman" w:eastAsia="黑体"/>
                <w:kern w:val="0"/>
                <w:sz w:val="28"/>
                <w:lang w:val="en-US" w:eastAsia="zh-CN"/>
              </w:rPr>
              <w:t>突发</w:t>
            </w:r>
            <w:r>
              <w:rPr>
                <w:rFonts w:ascii="Times New Roman" w:hAnsi="Times New Roman" w:eastAsia="黑体"/>
                <w:kern w:val="0"/>
                <w:sz w:val="28"/>
              </w:rPr>
              <w:t>环境事件</w:t>
            </w:r>
          </w:p>
        </w:tc>
      </w:tr>
      <w:tr w14:paraId="5E0A48F2">
        <w:tblPrEx>
          <w:tblCellMar>
            <w:top w:w="0" w:type="dxa"/>
            <w:left w:w="108" w:type="dxa"/>
            <w:bottom w:w="0" w:type="dxa"/>
            <w:right w:w="108" w:type="dxa"/>
          </w:tblCellMar>
        </w:tblPrEx>
        <w:trPr>
          <w:trHeight w:val="5265" w:hRule="atLeast"/>
        </w:trPr>
        <w:tc>
          <w:tcPr>
            <w:tcW w:w="1154" w:type="pct"/>
            <w:tcBorders>
              <w:top w:val="nil"/>
              <w:left w:val="single" w:color="auto" w:sz="4" w:space="0"/>
              <w:bottom w:val="single" w:color="auto" w:sz="4" w:space="0"/>
              <w:right w:val="single" w:color="auto" w:sz="4" w:space="0"/>
            </w:tcBorders>
            <w:noWrap w:val="0"/>
            <w:vAlign w:val="center"/>
          </w:tcPr>
          <w:p w14:paraId="78973D8A">
            <w:pPr>
              <w:widowControl/>
              <w:jc w:val="left"/>
              <w:rPr>
                <w:rFonts w:ascii="Times New Roman" w:hAnsi="Times New Roman"/>
                <w:kern w:val="0"/>
                <w:sz w:val="24"/>
              </w:rPr>
            </w:pPr>
            <w:r>
              <w:rPr>
                <w:rFonts w:ascii="Times New Roman" w:hAnsi="Times New Roman"/>
                <w:kern w:val="0"/>
                <w:sz w:val="24"/>
              </w:rPr>
              <w:t>（1）因环境污染直接导致30人以上死亡或100人以上中毒或重伤的；</w:t>
            </w:r>
            <w:r>
              <w:rPr>
                <w:rFonts w:ascii="Times New Roman" w:hAnsi="Times New Roman"/>
                <w:kern w:val="0"/>
                <w:sz w:val="24"/>
              </w:rPr>
              <w:br w:type="textWrapping"/>
            </w:r>
            <w:r>
              <w:rPr>
                <w:rFonts w:ascii="Times New Roman" w:hAnsi="Times New Roman"/>
                <w:kern w:val="0"/>
                <w:sz w:val="24"/>
              </w:rPr>
              <w:t>（2）因环境污染疏散、转移人员5万人以上的；</w:t>
            </w:r>
            <w:r>
              <w:rPr>
                <w:rFonts w:ascii="Times New Roman" w:hAnsi="Times New Roman"/>
                <w:kern w:val="0"/>
                <w:sz w:val="24"/>
              </w:rPr>
              <w:br w:type="textWrapping"/>
            </w:r>
            <w:r>
              <w:rPr>
                <w:rFonts w:ascii="Times New Roman" w:hAnsi="Times New Roman"/>
                <w:kern w:val="0"/>
                <w:sz w:val="24"/>
              </w:rPr>
              <w:t>（3）因环境污染造成直接经济损失1亿元以上的；</w:t>
            </w:r>
            <w:r>
              <w:rPr>
                <w:rFonts w:ascii="Times New Roman" w:hAnsi="Times New Roman"/>
                <w:kern w:val="0"/>
                <w:sz w:val="24"/>
              </w:rPr>
              <w:br w:type="textWrapping"/>
            </w:r>
            <w:r>
              <w:rPr>
                <w:rFonts w:ascii="Times New Roman" w:hAnsi="Times New Roman"/>
                <w:kern w:val="0"/>
                <w:sz w:val="24"/>
              </w:rPr>
              <w:t>（4）因环境污染造成区域生态功能丧失或该区域国家重点保护物种灭绝的；</w:t>
            </w:r>
            <w:r>
              <w:rPr>
                <w:rFonts w:ascii="Times New Roman" w:hAnsi="Times New Roman"/>
                <w:kern w:val="0"/>
                <w:sz w:val="24"/>
              </w:rPr>
              <w:br w:type="textWrapping"/>
            </w:r>
            <w:r>
              <w:rPr>
                <w:rFonts w:ascii="Times New Roman" w:hAnsi="Times New Roman"/>
                <w:kern w:val="0"/>
                <w:sz w:val="24"/>
              </w:rPr>
              <w:t>（5）因环境污染造成设区的市</w:t>
            </w:r>
            <w:bookmarkStart w:id="0" w:name="_GoBack"/>
            <w:bookmarkEnd w:id="0"/>
            <w:r>
              <w:rPr>
                <w:rFonts w:ascii="Times New Roman" w:hAnsi="Times New Roman"/>
                <w:kern w:val="0"/>
                <w:sz w:val="24"/>
              </w:rPr>
              <w:t>级以上城市集中式饮用水水源地取水中断的。</w:t>
            </w:r>
          </w:p>
        </w:tc>
        <w:tc>
          <w:tcPr>
            <w:tcW w:w="1255" w:type="pct"/>
            <w:tcBorders>
              <w:top w:val="nil"/>
              <w:left w:val="nil"/>
              <w:bottom w:val="single" w:color="auto" w:sz="4" w:space="0"/>
              <w:right w:val="single" w:color="auto" w:sz="4" w:space="0"/>
            </w:tcBorders>
            <w:noWrap w:val="0"/>
            <w:vAlign w:val="center"/>
          </w:tcPr>
          <w:p w14:paraId="7CC3DFB0">
            <w:pPr>
              <w:widowControl/>
              <w:jc w:val="left"/>
              <w:rPr>
                <w:rFonts w:ascii="Times New Roman" w:hAnsi="Times New Roman"/>
                <w:kern w:val="0"/>
                <w:sz w:val="24"/>
              </w:rPr>
            </w:pPr>
            <w:r>
              <w:rPr>
                <w:rFonts w:ascii="Times New Roman" w:hAnsi="Times New Roman"/>
                <w:kern w:val="0"/>
                <w:sz w:val="24"/>
              </w:rPr>
              <w:t>（1）因环境污染直接导致10人以上30人以下死亡或50人以上100人以下中毒或重伤的；</w:t>
            </w:r>
            <w:r>
              <w:rPr>
                <w:rFonts w:ascii="Times New Roman" w:hAnsi="Times New Roman"/>
                <w:kern w:val="0"/>
                <w:sz w:val="24"/>
              </w:rPr>
              <w:br w:type="textWrapping"/>
            </w:r>
            <w:r>
              <w:rPr>
                <w:rFonts w:ascii="Times New Roman" w:hAnsi="Times New Roman"/>
                <w:kern w:val="0"/>
                <w:sz w:val="24"/>
              </w:rPr>
              <w:t>（2）因环境污染疏散、转移人员1万人以上5万人以下的；</w:t>
            </w:r>
            <w:r>
              <w:rPr>
                <w:rFonts w:ascii="Times New Roman" w:hAnsi="Times New Roman"/>
                <w:kern w:val="0"/>
                <w:sz w:val="24"/>
              </w:rPr>
              <w:br w:type="textWrapping"/>
            </w:r>
            <w:r>
              <w:rPr>
                <w:rFonts w:ascii="Times New Roman" w:hAnsi="Times New Roman"/>
                <w:kern w:val="0"/>
                <w:sz w:val="24"/>
              </w:rPr>
              <w:t>（3）因环境污染造成直接经济损失2000万元以上1亿元以下的；</w:t>
            </w:r>
            <w:r>
              <w:rPr>
                <w:rFonts w:ascii="Times New Roman" w:hAnsi="Times New Roman"/>
                <w:kern w:val="0"/>
                <w:sz w:val="24"/>
              </w:rPr>
              <w:br w:type="textWrapping"/>
            </w:r>
            <w:r>
              <w:rPr>
                <w:rFonts w:ascii="Times New Roman" w:hAnsi="Times New Roman"/>
                <w:kern w:val="0"/>
                <w:sz w:val="24"/>
              </w:rPr>
              <w:t>（4）因环境污染造成区域生态功能部分丧失或该区域国家重点保护野生动植物种群大批死亡的；</w:t>
            </w:r>
            <w:r>
              <w:rPr>
                <w:rFonts w:ascii="Times New Roman" w:hAnsi="Times New Roman"/>
                <w:kern w:val="0"/>
                <w:sz w:val="24"/>
              </w:rPr>
              <w:br w:type="textWrapping"/>
            </w:r>
            <w:r>
              <w:rPr>
                <w:rFonts w:ascii="Times New Roman" w:hAnsi="Times New Roman"/>
                <w:kern w:val="0"/>
                <w:sz w:val="24"/>
              </w:rPr>
              <w:t>（5）因环境污染造成县级城市集中式饮用水水源地取水中断的；</w:t>
            </w:r>
            <w:r>
              <w:rPr>
                <w:rFonts w:ascii="Times New Roman" w:hAnsi="Times New Roman"/>
                <w:kern w:val="0"/>
                <w:sz w:val="24"/>
              </w:rPr>
              <w:br w:type="textWrapping"/>
            </w:r>
            <w:r>
              <w:rPr>
                <w:rFonts w:ascii="Times New Roman" w:hAnsi="Times New Roman"/>
                <w:kern w:val="0"/>
                <w:sz w:val="24"/>
              </w:rPr>
              <w:t>（6）造成跨省级行政区域影响的突发环境事件。</w:t>
            </w:r>
          </w:p>
        </w:tc>
        <w:tc>
          <w:tcPr>
            <w:tcW w:w="1161" w:type="pct"/>
            <w:tcBorders>
              <w:top w:val="nil"/>
              <w:left w:val="nil"/>
              <w:bottom w:val="single" w:color="auto" w:sz="4" w:space="0"/>
              <w:right w:val="single" w:color="auto" w:sz="4" w:space="0"/>
            </w:tcBorders>
            <w:noWrap w:val="0"/>
            <w:vAlign w:val="center"/>
          </w:tcPr>
          <w:p w14:paraId="5BBB321C">
            <w:pPr>
              <w:widowControl/>
              <w:jc w:val="left"/>
              <w:rPr>
                <w:rFonts w:ascii="Times New Roman" w:hAnsi="Times New Roman"/>
                <w:kern w:val="0"/>
                <w:sz w:val="24"/>
              </w:rPr>
            </w:pPr>
            <w:r>
              <w:rPr>
                <w:rFonts w:ascii="Times New Roman" w:hAnsi="Times New Roman"/>
                <w:kern w:val="0"/>
                <w:sz w:val="24"/>
              </w:rPr>
              <w:t>（1）因环境污染直接导致3人以上10人以下死亡或10人以上50人以下中毒或重伤的；</w:t>
            </w:r>
            <w:r>
              <w:rPr>
                <w:rFonts w:ascii="Times New Roman" w:hAnsi="Times New Roman"/>
                <w:kern w:val="0"/>
                <w:sz w:val="24"/>
              </w:rPr>
              <w:br w:type="textWrapping"/>
            </w:r>
            <w:r>
              <w:rPr>
                <w:rFonts w:ascii="Times New Roman" w:hAnsi="Times New Roman"/>
                <w:kern w:val="0"/>
                <w:sz w:val="24"/>
              </w:rPr>
              <w:t>（2）因环境污染疏散、转移人员5000人以上1万人以下的；</w:t>
            </w:r>
            <w:r>
              <w:rPr>
                <w:rFonts w:ascii="Times New Roman" w:hAnsi="Times New Roman"/>
                <w:kern w:val="0"/>
                <w:sz w:val="24"/>
              </w:rPr>
              <w:br w:type="textWrapping"/>
            </w:r>
            <w:r>
              <w:rPr>
                <w:rFonts w:ascii="Times New Roman" w:hAnsi="Times New Roman"/>
                <w:kern w:val="0"/>
                <w:sz w:val="24"/>
              </w:rPr>
              <w:t>（3）因环境污染造成直接经济损失500万元以上2000万元以下的；</w:t>
            </w:r>
            <w:r>
              <w:rPr>
                <w:rFonts w:ascii="Times New Roman" w:hAnsi="Times New Roman"/>
                <w:kern w:val="0"/>
                <w:sz w:val="24"/>
              </w:rPr>
              <w:br w:type="textWrapping"/>
            </w:r>
            <w:r>
              <w:rPr>
                <w:rFonts w:ascii="Times New Roman" w:hAnsi="Times New Roman"/>
                <w:kern w:val="0"/>
                <w:sz w:val="24"/>
              </w:rPr>
              <w:t>（4）因环境污染造成国家重点保护的动植物物种受到破坏的；</w:t>
            </w:r>
            <w:r>
              <w:rPr>
                <w:rFonts w:ascii="Times New Roman" w:hAnsi="Times New Roman"/>
                <w:kern w:val="0"/>
                <w:sz w:val="24"/>
              </w:rPr>
              <w:br w:type="textWrapping"/>
            </w:r>
            <w:r>
              <w:rPr>
                <w:rFonts w:ascii="Times New Roman" w:hAnsi="Times New Roman"/>
                <w:kern w:val="0"/>
                <w:sz w:val="24"/>
              </w:rPr>
              <w:t>（5）因环境污染造成乡镇集中式饮用水水源地取水中断的；</w:t>
            </w:r>
            <w:r>
              <w:rPr>
                <w:rFonts w:ascii="Times New Roman" w:hAnsi="Times New Roman"/>
                <w:kern w:val="0"/>
                <w:sz w:val="24"/>
              </w:rPr>
              <w:br w:type="textWrapping"/>
            </w:r>
            <w:r>
              <w:rPr>
                <w:rFonts w:ascii="Times New Roman" w:hAnsi="Times New Roman"/>
                <w:kern w:val="0"/>
                <w:sz w:val="24"/>
              </w:rPr>
              <w:t>（6）造成跨设区的市级行政区域影响的突发环境事件。</w:t>
            </w:r>
          </w:p>
        </w:tc>
        <w:tc>
          <w:tcPr>
            <w:tcW w:w="1127" w:type="pct"/>
            <w:tcBorders>
              <w:top w:val="nil"/>
              <w:left w:val="nil"/>
              <w:bottom w:val="single" w:color="auto" w:sz="4" w:space="0"/>
              <w:right w:val="single" w:color="auto" w:sz="4" w:space="0"/>
            </w:tcBorders>
            <w:noWrap w:val="0"/>
            <w:vAlign w:val="center"/>
          </w:tcPr>
          <w:p w14:paraId="0534A5B5">
            <w:pPr>
              <w:widowControl/>
              <w:jc w:val="left"/>
              <w:rPr>
                <w:rFonts w:ascii="Times New Roman" w:hAnsi="Times New Roman"/>
                <w:kern w:val="0"/>
                <w:sz w:val="24"/>
              </w:rPr>
            </w:pPr>
            <w:r>
              <w:rPr>
                <w:rFonts w:ascii="Times New Roman" w:hAnsi="Times New Roman"/>
                <w:kern w:val="0"/>
                <w:sz w:val="24"/>
              </w:rPr>
              <w:t>（1）因环境污染直接导致3人以下死亡或10人以下中毒或重伤的；</w:t>
            </w:r>
            <w:r>
              <w:rPr>
                <w:rFonts w:ascii="Times New Roman" w:hAnsi="Times New Roman"/>
                <w:kern w:val="0"/>
                <w:sz w:val="24"/>
              </w:rPr>
              <w:br w:type="textWrapping"/>
            </w:r>
            <w:r>
              <w:rPr>
                <w:rFonts w:ascii="Times New Roman" w:hAnsi="Times New Roman"/>
                <w:kern w:val="0"/>
                <w:sz w:val="24"/>
              </w:rPr>
              <w:t>（2）因环境污染疏散、转移人员5000人以下的；</w:t>
            </w:r>
            <w:r>
              <w:rPr>
                <w:rFonts w:ascii="Times New Roman" w:hAnsi="Times New Roman"/>
                <w:kern w:val="0"/>
                <w:sz w:val="24"/>
              </w:rPr>
              <w:br w:type="textWrapping"/>
            </w:r>
            <w:r>
              <w:rPr>
                <w:rFonts w:ascii="Times New Roman" w:hAnsi="Times New Roman"/>
                <w:kern w:val="0"/>
                <w:sz w:val="24"/>
              </w:rPr>
              <w:t>（3）因环境污染造成直接经济损失500万元以下的；</w:t>
            </w:r>
            <w:r>
              <w:rPr>
                <w:rFonts w:ascii="Times New Roman" w:hAnsi="Times New Roman"/>
                <w:kern w:val="0"/>
                <w:sz w:val="24"/>
              </w:rPr>
              <w:br w:type="textWrapping"/>
            </w:r>
            <w:r>
              <w:rPr>
                <w:rFonts w:ascii="Times New Roman" w:hAnsi="Times New Roman"/>
                <w:kern w:val="0"/>
                <w:sz w:val="24"/>
              </w:rPr>
              <w:t>（4）因环境污染造成跨县级行政区域纠纷，引起一般性群体影响的；</w:t>
            </w:r>
            <w:r>
              <w:rPr>
                <w:rFonts w:ascii="Times New Roman" w:hAnsi="Times New Roman"/>
                <w:kern w:val="0"/>
                <w:sz w:val="24"/>
              </w:rPr>
              <w:br w:type="textWrapping"/>
            </w:r>
            <w:r>
              <w:rPr>
                <w:rFonts w:ascii="Times New Roman" w:hAnsi="Times New Roman"/>
                <w:kern w:val="0"/>
                <w:sz w:val="24"/>
              </w:rPr>
              <w:t>（5）对环境造成一定影响，尚未达到较大突发环境事件级别的。</w:t>
            </w:r>
          </w:p>
        </w:tc>
      </w:tr>
      <w:tr w14:paraId="232815D3">
        <w:tblPrEx>
          <w:tblCellMar>
            <w:top w:w="0" w:type="dxa"/>
            <w:left w:w="108" w:type="dxa"/>
            <w:bottom w:w="0" w:type="dxa"/>
            <w:right w:w="108" w:type="dxa"/>
          </w:tblCellMar>
        </w:tblPrEx>
        <w:trPr>
          <w:trHeight w:val="285" w:hRule="atLeast"/>
        </w:trPr>
        <w:tc>
          <w:tcPr>
            <w:tcW w:w="4699" w:type="pct"/>
            <w:gridSpan w:val="4"/>
            <w:tcBorders>
              <w:top w:val="single" w:color="auto" w:sz="4" w:space="0"/>
              <w:left w:val="single" w:color="auto" w:sz="4" w:space="0"/>
              <w:bottom w:val="single" w:color="auto" w:sz="4" w:space="0"/>
              <w:right w:val="single" w:color="auto" w:sz="4" w:space="0"/>
            </w:tcBorders>
            <w:noWrap w:val="0"/>
            <w:vAlign w:val="top"/>
          </w:tcPr>
          <w:p w14:paraId="701F1BCE">
            <w:pPr>
              <w:widowControl/>
              <w:jc w:val="left"/>
              <w:rPr>
                <w:rFonts w:ascii="Times New Roman" w:hAnsi="Times New Roman"/>
                <w:kern w:val="0"/>
                <w:sz w:val="24"/>
              </w:rPr>
            </w:pPr>
            <w:r>
              <w:rPr>
                <w:rFonts w:ascii="Times New Roman" w:hAnsi="Times New Roman"/>
                <w:kern w:val="0"/>
                <w:sz w:val="24"/>
              </w:rPr>
              <w:t>上述分级标准有关数量的表述中，“以上”含本数，“以下”不含本数。</w:t>
            </w:r>
          </w:p>
        </w:tc>
      </w:tr>
    </w:tbl>
    <w:p w14:paraId="7712AD60">
      <w:pPr>
        <w:rPr>
          <w:rFonts w:ascii="Times New Roman" w:hAnsi="Times New Roman"/>
        </w:rPr>
        <w:sectPr>
          <w:footerReference r:id="rId3" w:type="default"/>
          <w:pgSz w:w="16838" w:h="11906" w:orient="landscape"/>
          <w:pgMar w:top="2098" w:right="1474" w:bottom="1984" w:left="1588" w:header="851" w:footer="1400" w:gutter="0"/>
          <w:pgNumType w:fmt="numberInDash"/>
          <w:cols w:space="720" w:num="1"/>
          <w:docGrid w:type="lines" w:linePitch="315" w:charSpace="0"/>
        </w:sectPr>
      </w:pPr>
    </w:p>
    <w:p w14:paraId="74B5F9A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FBE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E7127"/>
    <w:rsid w:val="696E7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Lines="0" w:afterAutospacing="0"/>
      <w:ind w:left="0" w:leftChars="0"/>
    </w:p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2025-03-12T08:29:00Z</dcterms:created>
  <dc:creator>左</dc:creator>
  <cp:lastModifiedBy>左</cp:lastModifiedBy>
  <dcterms:modified xsi:type="dcterms:W3CDTF">2025-03-12T08:30:13Z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31F70976229D44179B764E7CE42163BB_11</vt:lpwstr>
  </property>
  <property fmtid="{D5CDD505-2E9C-101B-9397-08002B2CF9AE}" pid="4" name="KSOTemplateDocerSaveRecord">
    <vt:lpwstr>eyJoZGlkIjoiYTRiOTM3M2Q2NDY2ZWFhZGMxNzhmOTcyN2M4MzdhYTciLCJ1c2VySWQiOiIzODkyMDEzMDEifQ==</vt:lpwstr>
  </property>
</Properties>
</file>