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繁峙县医疗保障局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  <w:lang w:val="en-US" w:eastAsia="zh-CN"/>
        </w:rPr>
        <w:t>2021年度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80" w:lineRule="exact"/>
        <w:ind w:firstLine="64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繁峙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县医疗保障局认真贯彻落实《中华人民共和国政府信息公开条例》，高度重视政府信息公开工作，把大力推行政府信息公开作为办好人民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群众医疗保障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的重要内容，加强组织领导，完善体制机制，全方位及时更新公开相关信息内容，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  <w:t>充分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424242"/>
          <w:spacing w:val="0"/>
          <w:sz w:val="32"/>
          <w:szCs w:val="32"/>
          <w:shd w:val="clear" w:fill="FFFFFF"/>
        </w:rPr>
        <w:t>利用政府网站主动向社会公开我局的组织机构、部门文件、办事指南、工作动态、财政预决算及其他。严格执行政府信息主动公开制度，按照法定程序主动公开有关信息。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200" w:firstLineChars="100"/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2021年，我局在政务信息公开工作中，虽然总体成绩有所提高，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但对照上级的要求和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人民群众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的期望，还存在一些不足和问题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下一步，我们要加大宣传和政策公开工作力度，积极提升群众对政府信息公开工作的认识程度，满足群众对医保信息的需求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加大对新录用公务员、政务公开工作人员的培训力度，切实提高政务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公开工作水平。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无其他需要报告的事项。</w:t>
      </w:r>
    </w:p>
    <w:p>
      <w:pPr>
        <w:ind w:firstLine="64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繁峙县医疗保障局</w:t>
      </w:r>
    </w:p>
    <w:p>
      <w:pPr>
        <w:jc w:val="right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2022年1月18日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C7D33"/>
    <w:rsid w:val="2875446D"/>
    <w:rsid w:val="29CC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2022-01-13T01:57:00Z</dcterms:created>
  <dc:creator>～～</dc:creator>
  <cp:lastModifiedBy>...</cp:lastModifiedBy>
  <dcterms:modified xsi:type="dcterms:W3CDTF">2022-01-24T08:53:19Z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862232B56B794196B1ADA3A7A5F9313E</vt:lpwstr>
  </property>
</Properties>
</file>