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240" w:lineRule="auto"/>
        <w:jc w:val="center"/>
        <w:rPr>
          <w:rStyle w:val="10"/>
          <w:rFonts w:ascii="Calibri" w:hAnsi="Calibri" w:eastAsia="宋体" w:cs="Times New Roman"/>
        </w:rPr>
      </w:pPr>
      <w:bookmarkStart w:id="1" w:name="_GoBack"/>
      <w:bookmarkStart w:id="0" w:name="_Toc24723884"/>
      <w:r>
        <w:rPr>
          <w:rFonts w:hint="eastAsia" w:ascii="方正小标宋简体" w:eastAsia="方正小标宋简体" w:cs="方正小标宋简体"/>
          <w:sz w:val="44"/>
          <w:szCs w:val="44"/>
          <w:lang w:eastAsia="zh-CN"/>
        </w:rPr>
        <w:t>繁峙县</w:t>
      </w:r>
      <w:r>
        <w:rPr>
          <w:rFonts w:hint="eastAsia" w:ascii="方正小标宋简体" w:eastAsia="方正小标宋简体" w:cs="方正小标宋简体"/>
          <w:sz w:val="44"/>
          <w:szCs w:val="44"/>
        </w:rPr>
        <w:t>文化和旅游突发事件应急指挥部组成与职责</w:t>
      </w:r>
      <w:bookmarkEnd w:id="0"/>
    </w:p>
    <w:bookmarkEnd w:id="1"/>
    <w:tbl>
      <w:tblPr>
        <w:tblStyle w:val="8"/>
        <w:tblW w:w="14263" w:type="dxa"/>
        <w:jc w:val="center"/>
        <w:tblLayout w:type="fixed"/>
        <w:tblCellMar>
          <w:top w:w="57" w:type="dxa"/>
          <w:left w:w="85" w:type="dxa"/>
          <w:bottom w:w="57" w:type="dxa"/>
          <w:right w:w="85" w:type="dxa"/>
        </w:tblCellMar>
      </w:tblPr>
      <w:tblGrid>
        <w:gridCol w:w="1660"/>
        <w:gridCol w:w="12603"/>
      </w:tblGrid>
      <w:tr>
        <w:tblPrEx>
          <w:tblCellMar>
            <w:top w:w="57" w:type="dxa"/>
            <w:left w:w="85" w:type="dxa"/>
            <w:bottom w:w="57" w:type="dxa"/>
            <w:right w:w="85" w:type="dxa"/>
          </w:tblCellMar>
        </w:tblPrEx>
        <w:trPr>
          <w:trHeight w:val="427" w:hRule="atLeast"/>
          <w:tblHeader/>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sz w:val="24"/>
                <w:szCs w:val="24"/>
              </w:rPr>
            </w:pPr>
            <w:r>
              <w:rPr>
                <w:rFonts w:hint="eastAsia" w:ascii="黑体" w:hAnsi="宋体" w:eastAsia="黑体" w:cs="黑体"/>
                <w:sz w:val="24"/>
                <w:szCs w:val="24"/>
              </w:rPr>
              <w:t>部</w:t>
            </w:r>
            <w:r>
              <w:rPr>
                <w:rFonts w:hint="eastAsia" w:ascii="黑体" w:hAnsi="宋体" w:eastAsia="黑体" w:cs="黑体"/>
                <w:sz w:val="24"/>
                <w:szCs w:val="24"/>
                <w:lang w:val="en-US" w:eastAsia="zh-CN"/>
              </w:rPr>
              <w:t xml:space="preserve">  </w:t>
            </w:r>
            <w:r>
              <w:rPr>
                <w:rFonts w:hint="eastAsia" w:ascii="黑体" w:hAnsi="宋体" w:eastAsia="黑体" w:cs="黑体"/>
                <w:sz w:val="24"/>
                <w:szCs w:val="24"/>
              </w:rPr>
              <w:t>门</w:t>
            </w:r>
          </w:p>
        </w:tc>
        <w:tc>
          <w:tcPr>
            <w:tcW w:w="1260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Times New Roman"/>
                <w:sz w:val="24"/>
                <w:szCs w:val="24"/>
              </w:rPr>
            </w:pPr>
            <w:r>
              <w:rPr>
                <w:rFonts w:hint="eastAsia" w:ascii="黑体" w:hAnsi="宋体" w:eastAsia="黑体" w:cs="黑体"/>
                <w:sz w:val="24"/>
                <w:szCs w:val="24"/>
              </w:rPr>
              <w:t>职</w:t>
            </w:r>
            <w:r>
              <w:rPr>
                <w:rFonts w:hint="eastAsia" w:ascii="黑体" w:hAnsi="宋体" w:eastAsia="黑体" w:cs="黑体"/>
                <w:sz w:val="24"/>
                <w:szCs w:val="24"/>
                <w:lang w:val="en-US" w:eastAsia="zh-CN"/>
              </w:rPr>
              <w:t xml:space="preserve">  </w:t>
            </w:r>
            <w:r>
              <w:rPr>
                <w:rFonts w:hint="eastAsia" w:ascii="黑体" w:hAnsi="宋体" w:eastAsia="黑体" w:cs="黑体"/>
                <w:sz w:val="24"/>
                <w:szCs w:val="24"/>
              </w:rPr>
              <w:t>责</w:t>
            </w:r>
          </w:p>
        </w:tc>
      </w:tr>
      <w:tr>
        <w:tblPrEx>
          <w:tblCellMar>
            <w:top w:w="57" w:type="dxa"/>
            <w:left w:w="85" w:type="dxa"/>
            <w:bottom w:w="57" w:type="dxa"/>
            <w:right w:w="85" w:type="dxa"/>
          </w:tblCellMar>
        </w:tblPrEx>
        <w:trPr>
          <w:trHeight w:val="2959" w:hRule="atLeast"/>
          <w:jc w:val="center"/>
        </w:trPr>
        <w:tc>
          <w:tcPr>
            <w:tcW w:w="1660" w:type="dxa"/>
            <w:tcBorders>
              <w:top w:val="single" w:color="000000" w:sz="4" w:space="0"/>
              <w:left w:val="single" w:color="000000" w:sz="4" w:space="0"/>
              <w:right w:val="single" w:color="auto"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w:t>
            </w:r>
          </w:p>
        </w:tc>
        <w:tc>
          <w:tcPr>
            <w:tcW w:w="12603" w:type="dxa"/>
            <w:tcBorders>
              <w:top w:val="single" w:color="auto" w:sz="4" w:space="0"/>
              <w:left w:val="single" w:color="auto" w:sz="4" w:space="0"/>
              <w:bottom w:val="single" w:color="auto" w:sz="4" w:space="0"/>
              <w:right w:val="single" w:color="auto" w:sz="4" w:space="0"/>
            </w:tcBorders>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（1）贯彻落实党中央、国务院、省委、省政府和</w:t>
            </w:r>
            <w:r>
              <w:rPr>
                <w:rFonts w:hint="eastAsia" w:ascii="仿宋_GB2312" w:hAnsi="仿宋_GB2312" w:eastAsia="仿宋_GB2312" w:cs="仿宋_GB2312"/>
                <w:sz w:val="24"/>
                <w:szCs w:val="24"/>
                <w:lang w:eastAsia="zh-CN"/>
              </w:rPr>
              <w:t>市委、市政府</w:t>
            </w:r>
            <w:r>
              <w:rPr>
                <w:rFonts w:hint="eastAsia" w:ascii="仿宋_GB2312" w:hAnsi="仿宋_GB2312" w:eastAsia="仿宋_GB2312" w:cs="仿宋_GB2312"/>
                <w:sz w:val="24"/>
                <w:szCs w:val="24"/>
              </w:rPr>
              <w:t>关于文化和旅游、文物突发事件的决策部署；</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（2）制定文化和旅游、文物安全应急总体规划，统筹组织协调全</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文化和旅游、文物类安全突发事件防范、预警和处置工作，指导突发事件风险防控、监测预警、调查评估和善后工作；</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（3）启动、实施、终止应急响应，发布应急指令；</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（4）向</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人民政府和</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级相关部门报告文化和旅游、文物类安全突发事件应急处置工作情况；</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（5）按照上级要求发布文化和旅游、文物类安全突发事件处置信息；</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（6）批准和实施应急处置措施和方案；</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（7）落实国家部委、省委、省政府和</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委、</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政府交办的关于文化和旅游、文物类安全突发事件应急处置的批示和指示。</w:t>
            </w:r>
          </w:p>
        </w:tc>
      </w:tr>
      <w:tr>
        <w:tblPrEx>
          <w:tblCellMar>
            <w:top w:w="57" w:type="dxa"/>
            <w:left w:w="85" w:type="dxa"/>
            <w:bottom w:w="57" w:type="dxa"/>
            <w:right w:w="85" w:type="dxa"/>
          </w:tblCellMar>
        </w:tblPrEx>
        <w:trPr>
          <w:trHeight w:val="1863" w:hRule="atLeast"/>
          <w:jc w:val="center"/>
        </w:trPr>
        <w:tc>
          <w:tcPr>
            <w:tcW w:w="1660" w:type="dxa"/>
            <w:tcBorders>
              <w:top w:val="single" w:color="000000" w:sz="4" w:space="0"/>
              <w:left w:val="single" w:color="auto" w:sz="4" w:space="0"/>
              <w:right w:val="single" w:color="auto"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w:t>
            </w:r>
          </w:p>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办公室</w:t>
            </w:r>
          </w:p>
        </w:tc>
        <w:tc>
          <w:tcPr>
            <w:tcW w:w="12603" w:type="dxa"/>
            <w:tcBorders>
              <w:top w:val="single" w:color="auto" w:sz="4" w:space="0"/>
              <w:left w:val="single" w:color="auto" w:sz="4" w:space="0"/>
              <w:bottom w:val="single" w:color="auto" w:sz="4" w:space="0"/>
              <w:right w:val="single" w:color="auto"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（1）承担</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指挥部日常工作；</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（2）贯彻落实</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指挥部的各项工作部署和指令；</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（3）收集汇总分析上报突发事件应急处置工作，根据</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指挥部指令通报应急处置工作情况；</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（4）按</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指挥部要求，组织协调突发事件应急处置工作；</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（5）完成</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指挥部交办的其他任务。</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000000"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委宣传部</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应急指挥部的统一部署，组织协调新闻媒体开展较大文化和旅游事故应急新闻报道，积极引导舆论。</w:t>
            </w:r>
          </w:p>
        </w:tc>
      </w:tr>
      <w:tr>
        <w:tblPrEx>
          <w:tblCellMar>
            <w:top w:w="57" w:type="dxa"/>
            <w:left w:w="85" w:type="dxa"/>
            <w:bottom w:w="57" w:type="dxa"/>
            <w:right w:w="85" w:type="dxa"/>
          </w:tblCellMar>
        </w:tblPrEx>
        <w:trPr>
          <w:trHeight w:val="23" w:hRule="atLeast"/>
          <w:jc w:val="center"/>
        </w:trPr>
        <w:tc>
          <w:tcPr>
            <w:tcW w:w="1660" w:type="dxa"/>
            <w:tcBorders>
              <w:top w:val="single" w:color="000000"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委统战部</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负责文化和旅游突发事件应急处置中涉及宗教、民族、侨务事务等问题的政策指导和协调工作。</w:t>
            </w:r>
          </w:p>
        </w:tc>
      </w:tr>
      <w:tr>
        <w:tblPrEx>
          <w:tblCellMar>
            <w:top w:w="57" w:type="dxa"/>
            <w:left w:w="85" w:type="dxa"/>
            <w:bottom w:w="57" w:type="dxa"/>
            <w:right w:w="85" w:type="dxa"/>
          </w:tblCellMar>
        </w:tblPrEx>
        <w:trPr>
          <w:trHeight w:val="375"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委网信办</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负责统筹协调指导文化和旅游突发事件网络舆情的引导处置工作。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政府外事办</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应急处置过程中的外事政策指导及涉外协调联络工作；协助做好外国媒体相关工作。负责协调文化和旅游突发事件应急处置过程涉台机构和人员的联络工作；协助做好台媒采访报道的管理与服务工作；提供涉台政策指导。</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lang w:val="en-US" w:eastAsia="zh-CN"/>
              </w:rPr>
              <w:t>融媒体中心</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负责协调突发事件新闻应对及处理负面曝光稿件工作。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发改</w:t>
            </w:r>
            <w:r>
              <w:rPr>
                <w:rFonts w:hint="eastAsia" w:ascii="仿宋_GB2312" w:hAnsi="仿宋_GB2312" w:eastAsia="仿宋_GB2312" w:cs="仿宋_GB2312"/>
                <w:sz w:val="24"/>
                <w:szCs w:val="24"/>
                <w:lang w:val="en-US" w:eastAsia="zh-CN"/>
              </w:rPr>
              <w:t>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负责落实</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级重要物资和应急储备物资动用计划和指令。</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工信局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负责紧急状态下重要物资生产组织工作；负责组织协调电信运营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做好文化和旅游突发事件应急通信保障工作；协助行业主管部门，督促</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属企业做好涉及文化和旅游方面的重大事故应急处置工作。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卫健</w:t>
            </w:r>
            <w:r>
              <w:rPr>
                <w:rFonts w:hint="eastAsia" w:ascii="仿宋_GB2312" w:hAnsi="仿宋_GB2312" w:eastAsia="仿宋_GB2312" w:cs="仿宋_GB2312"/>
                <w:sz w:val="24"/>
                <w:szCs w:val="24"/>
                <w:lang w:val="en-US" w:eastAsia="zh-CN"/>
              </w:rPr>
              <w:t>体局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负责组织、指导、协调事发地卫生健康部门开展文化和旅游突发事件伤病员救治和相关区域卫生学处理等紧急医学救援工作，为救援人员提供必要的医疗卫生保障。</w:t>
            </w:r>
          </w:p>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负责指导、协调涉旅高风险体育项目、大型群众性文化体育活动、体育旅游活动、体育赛事、体育竞技活动等组织管理、突发事件应急处置与突发事件调查工作。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县乡村振兴局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负责为文化和旅游突发公共事件导致贫困地区返贫致贫的群众提供针对性帮扶。</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公安局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属地公安机关做好文化和旅游突发事件现场及周边治安和交通秩序维护，必要时采取交通管制；配合当地党委政府开展群众紧急转移避险工作；处理危及文化和旅游安全的暴力恐怖袭击、劫持人质等突发公共事件；防范和打击违法犯罪活动，及时查处网络造谣违法人员；对遇难尸体检验、数据勘验和身份识别，参与相关突发事件原因分析调查与处理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财政局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负责文化和旅游突发事件应急管理体系建设专项资金和应急救援所需经费的安排、拨付和监督检查。</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县应急局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协助、协调调动有关队伍、装备、资源参与文化和旅游突发事件的应急救援工作；提供涉及文化和旅游系统的地震资料信息，并提出应对地震灾害防范对策；参与文化和旅游系统遭遇地震灾害的紧急救援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县交通</w:t>
            </w:r>
            <w:r>
              <w:rPr>
                <w:rFonts w:hint="eastAsia" w:ascii="仿宋_GB2312" w:hAnsi="仿宋_GB2312" w:eastAsia="仿宋_GB2312" w:cs="仿宋_GB2312"/>
                <w:sz w:val="24"/>
                <w:szCs w:val="24"/>
                <w:lang w:val="en-US" w:eastAsia="zh-CN"/>
              </w:rPr>
              <w:t>运输</w:t>
            </w:r>
            <w:r>
              <w:rPr>
                <w:rFonts w:hint="eastAsia" w:ascii="仿宋_GB2312" w:hAnsi="仿宋_GB2312" w:eastAsia="仿宋_GB2312" w:cs="仿宋_GB2312"/>
                <w:sz w:val="24"/>
                <w:szCs w:val="24"/>
                <w:lang w:eastAsia="zh-CN"/>
              </w:rPr>
              <w:t>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负责组织协调客货运输车辆或船舶，做好应急救援人员、物资的运输工作，为应急救援车辆提供绿色通道；协助对交通运输不便的突发事件现场铺设临时道路；组织协调水上搜救工作。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县教科</w:t>
            </w:r>
            <w:r>
              <w:rPr>
                <w:rFonts w:hint="eastAsia" w:ascii="仿宋_GB2312" w:hAnsi="仿宋_GB2312" w:eastAsia="仿宋_GB2312" w:cs="仿宋_GB2312"/>
                <w:sz w:val="24"/>
                <w:szCs w:val="24"/>
              </w:rPr>
              <w:t>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负责提供文化和旅游突发事件应急处置相关技术及成果应用的咨询建议；为事后恢复重建提供科技支撑。</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司法局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负责指导司法行政部门做好文化和旅游突发事件纠纷调处及法律援助工作。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民政局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负责督促指导县民政部门做好文化和旅游突发事件受伤人员救助工作，将符合社会救助条件的人员纳入救助范围；协助做好遇难人员遗体火化和善后处置工作。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县文化和</w:t>
            </w:r>
          </w:p>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旅游局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组织、协调文化和旅游突发事件应急处置工作；协助做好文化和旅游突发事件应急预案制定、发布和管理工作；组织、参与突发事件调查、分析和统计；督促有关单位制定并落实防范和整改措施；负责指导文化</w:t>
            </w:r>
            <w:r>
              <w:rPr>
                <w:rFonts w:hint="eastAsia" w:ascii="仿宋_GB2312" w:hAnsi="仿宋_GB2312" w:eastAsia="仿宋_GB2312" w:cs="仿宋_GB2312"/>
                <w:sz w:val="24"/>
                <w:szCs w:val="24"/>
                <w:lang w:val="en-US" w:eastAsia="zh-CN"/>
              </w:rPr>
              <w:t>和</w:t>
            </w:r>
            <w:r>
              <w:rPr>
                <w:rFonts w:hint="eastAsia" w:ascii="仿宋_GB2312" w:hAnsi="仿宋_GB2312" w:eastAsia="仿宋_GB2312" w:cs="仿宋_GB2312"/>
                <w:sz w:val="24"/>
                <w:szCs w:val="24"/>
              </w:rPr>
              <w:t>旅游系统涉及文物与文化遗产单位的突发事件应急处置工作；督促、指导灾后恢复重建工作；负责协助指导全</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广播电视媒体做好文化和旅游突发事件风险预警信息发布，及时准确报道文化和旅游突发事件及其应急救援有关信息，广泛普及有关安全和应急救援知识；承担</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指挥部办公室日常工作。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县自然资源局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负责指导协调县林业部门做好景区内森林和草原火灾及野生动物疫源疫病等监测、预警和处置工作，及时向</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指挥部办公室提供预警信息；协助做好景区内森林和草原护林防火工作；督促指导灾后景区内森林和草原生态修复工作；指导文化和旅游系统做好地质灾害防治工作，会同气象部门联合发布地质灾害气象风险预警，协助制定灾后恢复重建规划。</w:t>
            </w:r>
          </w:p>
        </w:tc>
      </w:tr>
      <w:tr>
        <w:tblPrEx>
          <w:tblCellMar>
            <w:top w:w="57" w:type="dxa"/>
            <w:left w:w="85" w:type="dxa"/>
            <w:bottom w:w="57" w:type="dxa"/>
            <w:right w:w="85" w:type="dxa"/>
          </w:tblCellMar>
        </w:tblPrEx>
        <w:trPr>
          <w:trHeight w:val="865"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lang w:eastAsia="zh-CN"/>
              </w:rPr>
              <w:t>生态环境局</w:t>
            </w:r>
            <w:r>
              <w:rPr>
                <w:rFonts w:hint="eastAsia" w:ascii="仿宋_GB2312" w:hAnsi="仿宋_GB2312" w:eastAsia="仿宋_GB2312" w:cs="仿宋_GB2312"/>
                <w:sz w:val="24"/>
                <w:szCs w:val="24"/>
                <w:lang w:val="en-US" w:eastAsia="zh-CN"/>
              </w:rPr>
              <w:t>繁峙分局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负责文化和旅游突发事件引发的环境污染的应急监测，指导事发地人民政府采取有效措施进行妥善处置。</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县住房城乡</w:t>
            </w:r>
          </w:p>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建设局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负责文化和旅游系统在建房屋建筑和</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政基础设施工程的安全隐患排查治理工作；指导文化和旅游突发事件的房屋建筑和</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政基础设施工程抢险；指导因灾毁损房屋建筑和</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政基础设施的安全鉴定以及重建等工作；参与相关事件原因分析、调查与处理。</w:t>
            </w:r>
          </w:p>
        </w:tc>
      </w:tr>
      <w:tr>
        <w:tblPrEx>
          <w:tblCellMar>
            <w:top w:w="57" w:type="dxa"/>
            <w:left w:w="85" w:type="dxa"/>
            <w:bottom w:w="57" w:type="dxa"/>
            <w:right w:w="85" w:type="dxa"/>
          </w:tblCellMar>
        </w:tblPrEx>
        <w:trPr>
          <w:trHeight w:val="697"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县水利局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会同有关单位做好属于水库旅游项目的水上应急救援工作；承担防洪应急抢险的技术支撑工作；做好事发地区生活、生产经营和生态环境用水的协调指导。</w:t>
            </w:r>
          </w:p>
        </w:tc>
      </w:tr>
      <w:tr>
        <w:tblPrEx>
          <w:tblCellMar>
            <w:top w:w="57" w:type="dxa"/>
            <w:left w:w="85" w:type="dxa"/>
            <w:bottom w:w="57" w:type="dxa"/>
            <w:right w:w="85" w:type="dxa"/>
          </w:tblCellMar>
        </w:tblPrEx>
        <w:trPr>
          <w:trHeight w:val="565"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县农业农村局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协调涉及农业、农村的文化和旅游突发事件的应急处置；参与相关突发事件的原因分析、调查工作。</w:t>
            </w:r>
          </w:p>
        </w:tc>
      </w:tr>
      <w:tr>
        <w:tblPrEx>
          <w:tblCellMar>
            <w:top w:w="57" w:type="dxa"/>
            <w:left w:w="85" w:type="dxa"/>
            <w:bottom w:w="57" w:type="dxa"/>
            <w:right w:w="85" w:type="dxa"/>
          </w:tblCellMar>
        </w:tblPrEx>
        <w:trPr>
          <w:trHeight w:val="910" w:hRule="atLeast"/>
          <w:jc w:val="center"/>
        </w:trPr>
        <w:tc>
          <w:tcPr>
            <w:tcW w:w="1660" w:type="dxa"/>
            <w:tcBorders>
              <w:top w:val="single" w:color="auto" w:sz="4" w:space="0"/>
              <w:left w:val="single" w:color="000000" w:sz="4" w:space="0"/>
              <w:right w:val="single" w:color="auto"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lang w:eastAsia="zh-CN"/>
              </w:rPr>
              <w:t>场监督</w:t>
            </w:r>
          </w:p>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管理局</w:t>
            </w:r>
          </w:p>
        </w:tc>
        <w:tc>
          <w:tcPr>
            <w:tcW w:w="12603" w:type="dxa"/>
            <w:tcBorders>
              <w:top w:val="single" w:color="auto" w:sz="4" w:space="0"/>
              <w:left w:val="single" w:color="auto" w:sz="4" w:space="0"/>
              <w:right w:val="single" w:color="auto"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负责维护文化和旅游突发事件事发地的</w:t>
            </w: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场经营秩序，严格查处各类价格违法行为；牵头组织文化和旅游系统特种设备突发事件、食品药品安全突发事件等调查工作；处理突发事件当地的价费投诉工作。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县统计局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负责指导、协助做好文化和旅游突发事件统计分析工作。</w:t>
            </w:r>
          </w:p>
        </w:tc>
      </w:tr>
      <w:tr>
        <w:tblPrEx>
          <w:tblCellMar>
            <w:top w:w="57" w:type="dxa"/>
            <w:left w:w="85" w:type="dxa"/>
            <w:bottom w:w="57" w:type="dxa"/>
            <w:right w:w="85" w:type="dxa"/>
          </w:tblCellMar>
        </w:tblPrEx>
        <w:trPr>
          <w:trHeight w:val="23" w:hRule="atLeast"/>
          <w:jc w:val="center"/>
        </w:trPr>
        <w:tc>
          <w:tcPr>
            <w:tcW w:w="1660"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县气象局</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负责提供灾害性天气预报预警，根据需要开展事发地现场应急气象观测、气象灾害调查等服务保障。</w:t>
            </w:r>
          </w:p>
        </w:tc>
      </w:tr>
      <w:tr>
        <w:tblPrEx>
          <w:tblCellMar>
            <w:top w:w="57" w:type="dxa"/>
            <w:left w:w="85" w:type="dxa"/>
            <w:bottom w:w="57" w:type="dxa"/>
            <w:right w:w="85" w:type="dxa"/>
          </w:tblCellMar>
        </w:tblPrEx>
        <w:trPr>
          <w:trHeight w:val="23"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中国移动繁峙分公司、</w:t>
            </w:r>
            <w:r>
              <w:rPr>
                <w:rFonts w:hint="eastAsia" w:ascii="仿宋_GB2312" w:hAnsi="仿宋_GB2312" w:eastAsia="仿宋_GB2312" w:cs="仿宋_GB2312"/>
                <w:sz w:val="24"/>
                <w:szCs w:val="24"/>
                <w:lang w:val="en-US" w:eastAsia="zh-CN"/>
              </w:rPr>
              <w:t>中国</w:t>
            </w:r>
            <w:r>
              <w:rPr>
                <w:rFonts w:hint="eastAsia" w:ascii="仿宋_GB2312" w:hAnsi="仿宋_GB2312" w:eastAsia="仿宋_GB2312" w:cs="仿宋_GB2312"/>
                <w:sz w:val="24"/>
                <w:szCs w:val="24"/>
                <w:lang w:eastAsia="zh-CN"/>
              </w:rPr>
              <w:t>联通繁峙分公司、</w:t>
            </w:r>
            <w:r>
              <w:rPr>
                <w:rFonts w:hint="eastAsia" w:ascii="仿宋_GB2312" w:hAnsi="仿宋_GB2312" w:eastAsia="仿宋_GB2312" w:cs="仿宋_GB2312"/>
                <w:sz w:val="24"/>
                <w:szCs w:val="24"/>
                <w:lang w:val="en-US" w:eastAsia="zh-CN"/>
              </w:rPr>
              <w:t>中国</w:t>
            </w:r>
            <w:r>
              <w:rPr>
                <w:rFonts w:hint="eastAsia" w:ascii="仿宋_GB2312" w:hAnsi="仿宋_GB2312" w:eastAsia="仿宋_GB2312" w:cs="仿宋_GB2312"/>
                <w:sz w:val="24"/>
                <w:szCs w:val="24"/>
                <w:lang w:eastAsia="zh-CN"/>
              </w:rPr>
              <w:t>电信繁峙分公司</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负责组织协调基层电信运营单位做好文化和旅游突发事件应急通信保障工作；尽快恢复受破坏的公用电信网和互联网通信设施。</w:t>
            </w:r>
          </w:p>
        </w:tc>
      </w:tr>
      <w:tr>
        <w:tblPrEx>
          <w:tblCellMar>
            <w:top w:w="57" w:type="dxa"/>
            <w:left w:w="85" w:type="dxa"/>
            <w:bottom w:w="57" w:type="dxa"/>
            <w:right w:w="85" w:type="dxa"/>
          </w:tblCellMar>
        </w:tblPrEx>
        <w:trPr>
          <w:trHeight w:val="23"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pStyle w:val="12"/>
              <w:autoSpaceDE/>
              <w:autoSpaceDN/>
              <w:adjustRightInd/>
              <w:snapToGrid/>
              <w:spacing w:line="30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忻州</w:t>
            </w:r>
            <w:r>
              <w:rPr>
                <w:rFonts w:hint="eastAsia" w:ascii="仿宋_GB2312" w:hAnsi="仿宋_GB2312" w:eastAsia="仿宋_GB2312" w:cs="仿宋_GB2312"/>
                <w:sz w:val="24"/>
                <w:szCs w:val="24"/>
                <w:lang w:eastAsia="zh-CN"/>
              </w:rPr>
              <w:t>银保监分局</w:t>
            </w:r>
            <w:r>
              <w:rPr>
                <w:rFonts w:hint="eastAsia" w:ascii="仿宋_GB2312" w:hAnsi="仿宋_GB2312" w:eastAsia="仿宋_GB2312" w:cs="仿宋_GB2312"/>
                <w:sz w:val="24"/>
                <w:szCs w:val="24"/>
                <w:lang w:val="en-US" w:eastAsia="zh-CN"/>
              </w:rPr>
              <w:t>繁峙监管组</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负责组织、督促、协调相关保险机构开展文化和旅游突发事件现场查勘和理赔工作。</w:t>
            </w:r>
          </w:p>
        </w:tc>
      </w:tr>
      <w:tr>
        <w:tblPrEx>
          <w:tblCellMar>
            <w:top w:w="57" w:type="dxa"/>
            <w:left w:w="85" w:type="dxa"/>
            <w:bottom w:w="57" w:type="dxa"/>
            <w:right w:w="85" w:type="dxa"/>
          </w:tblCellMar>
        </w:tblPrEx>
        <w:trPr>
          <w:trHeight w:val="23"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原平</w:t>
            </w:r>
            <w:r>
              <w:rPr>
                <w:rFonts w:hint="eastAsia" w:ascii="仿宋_GB2312" w:hAnsi="仿宋_GB2312" w:eastAsia="仿宋_GB2312" w:cs="仿宋_GB2312"/>
                <w:sz w:val="24"/>
                <w:szCs w:val="24"/>
                <w:lang w:eastAsia="zh-CN"/>
              </w:rPr>
              <w:t>车务段</w:t>
            </w:r>
          </w:p>
          <w:p>
            <w:pPr>
              <w:pStyle w:val="12"/>
              <w:autoSpaceDE/>
              <w:autoSpaceDN/>
              <w:adjustRightInd/>
              <w:snapToGrid/>
              <w:spacing w:line="30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繁峙火车站</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负责协调文化和旅游突发事件应急处置所需铁路运输；做好受困乘客的退票和改签服务。</w:t>
            </w:r>
          </w:p>
        </w:tc>
      </w:tr>
      <w:tr>
        <w:tblPrEx>
          <w:tblCellMar>
            <w:top w:w="57" w:type="dxa"/>
            <w:left w:w="85" w:type="dxa"/>
            <w:bottom w:w="57" w:type="dxa"/>
            <w:right w:w="85" w:type="dxa"/>
          </w:tblCellMar>
        </w:tblPrEx>
        <w:trPr>
          <w:trHeight w:val="23"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eastAsia="zh-CN"/>
              </w:rPr>
              <w:t>人武部</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负责调集所属民兵分队，必要时协调军队专业力量参加文化和旅游突发事件抢险救援，协助公安、武警维护社会稳定。</w:t>
            </w:r>
          </w:p>
        </w:tc>
      </w:tr>
      <w:tr>
        <w:tblPrEx>
          <w:tblCellMar>
            <w:top w:w="57" w:type="dxa"/>
            <w:left w:w="85" w:type="dxa"/>
            <w:bottom w:w="57" w:type="dxa"/>
            <w:right w:w="85" w:type="dxa"/>
          </w:tblCellMar>
        </w:tblPrEx>
        <w:trPr>
          <w:trHeight w:val="23"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武警繁峙</w:t>
            </w:r>
            <w:r>
              <w:rPr>
                <w:rFonts w:hint="eastAsia" w:ascii="仿宋_GB2312" w:hAnsi="仿宋_GB2312" w:eastAsia="仿宋_GB2312" w:cs="仿宋_GB2312"/>
                <w:sz w:val="24"/>
                <w:szCs w:val="24"/>
                <w:lang w:val="en-US" w:eastAsia="zh-CN"/>
              </w:rPr>
              <w:t>中</w:t>
            </w:r>
            <w:r>
              <w:rPr>
                <w:rFonts w:hint="eastAsia" w:ascii="仿宋_GB2312" w:hAnsi="仿宋_GB2312" w:eastAsia="仿宋_GB2312" w:cs="仿宋_GB2312"/>
                <w:sz w:val="24"/>
                <w:szCs w:val="24"/>
                <w:lang w:eastAsia="zh-CN"/>
              </w:rPr>
              <w:t>队</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负责组织武警部队参加文化和旅游突发事件抢险救援，协助公安机关维护社会治安秩序，保卫重要场所和目标。</w:t>
            </w:r>
          </w:p>
        </w:tc>
      </w:tr>
      <w:tr>
        <w:tblPrEx>
          <w:tblCellMar>
            <w:top w:w="57" w:type="dxa"/>
            <w:left w:w="85" w:type="dxa"/>
            <w:bottom w:w="57" w:type="dxa"/>
            <w:right w:w="85" w:type="dxa"/>
          </w:tblCellMar>
        </w:tblPrEx>
        <w:trPr>
          <w:trHeight w:val="23"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pStyle w:val="12"/>
              <w:autoSpaceDE/>
              <w:autoSpaceDN/>
              <w:adjustRightInd/>
              <w:snapToGrid/>
              <w:spacing w:line="30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国网忻州供电公司</w:t>
            </w:r>
          </w:p>
        </w:tc>
        <w:tc>
          <w:tcPr>
            <w:tcW w:w="12603" w:type="dxa"/>
            <w:tcBorders>
              <w:top w:val="single" w:color="auto" w:sz="4" w:space="0"/>
              <w:left w:val="single" w:color="000000" w:sz="4" w:space="0"/>
              <w:bottom w:val="single" w:color="auto" w:sz="4" w:space="0"/>
              <w:right w:val="single" w:color="000000" w:sz="4" w:space="0"/>
            </w:tcBorders>
            <w:vAlign w:val="center"/>
          </w:tcPr>
          <w:p>
            <w:pPr>
              <w:pStyle w:val="12"/>
              <w:autoSpaceDE/>
              <w:autoSpaceDN/>
              <w:adjustRightInd/>
              <w:snapToGrid/>
              <w:spacing w:line="300" w:lineRule="exact"/>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负责文化和旅游突发事件应急处置电力供应保障工作。</w:t>
            </w:r>
          </w:p>
        </w:tc>
      </w:tr>
    </w:tbl>
    <w:p>
      <w:pPr>
        <w:rPr>
          <w:rFonts w:ascii="宋体" w:cs="Times New Roman"/>
          <w:sz w:val="28"/>
          <w:szCs w:val="28"/>
        </w:rPr>
        <w:sectPr>
          <w:footerReference r:id="rId3" w:type="default"/>
          <w:pgSz w:w="16838" w:h="11906" w:orient="landscape"/>
          <w:pgMar w:top="1474" w:right="2098" w:bottom="1474" w:left="1701" w:header="720" w:footer="1304" w:gutter="0"/>
          <w:pgNumType w:fmt="numberInDash"/>
          <w:cols w:space="0" w:num="1"/>
          <w:docGrid w:linePitch="319" w:charSpace="0"/>
        </w:sectPr>
      </w:pPr>
    </w:p>
    <w:p/>
    <w:sectPr>
      <w:pgSz w:w="16838" w:h="11906" w:orient="landscape"/>
      <w:pgMar w:top="1236"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0695F"/>
    <w:rsid w:val="143D56D8"/>
    <w:rsid w:val="3ACB1E5D"/>
    <w:rsid w:val="3AD52443"/>
    <w:rsid w:val="6CBC6EEC"/>
    <w:rsid w:val="7790695F"/>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paragraph" w:styleId="4">
    <w:name w:val="heading 2"/>
    <w:basedOn w:val="1"/>
    <w:next w:val="5"/>
    <w:qFormat/>
    <w:uiPriority w:val="99"/>
    <w:pPr>
      <w:keepNext/>
      <w:keepLines/>
      <w:spacing w:before="260" w:after="260" w:line="413" w:lineRule="auto"/>
      <w:outlineLvl w:val="1"/>
    </w:pPr>
    <w:rPr>
      <w:rFonts w:ascii="Arial" w:hAnsi="Arial" w:eastAsia="微软雅黑" w:cs="Arial"/>
      <w:sz w:val="28"/>
      <w:szCs w:val="28"/>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240" w:lineRule="auto"/>
      <w:ind w:left="0" w:leftChars="0" w:firstLine="640" w:firstLineChars="200"/>
    </w:pPr>
    <w:rPr>
      <w:rFonts w:eastAsia="仿宋_GB2312"/>
      <w:sz w:val="32"/>
    </w:rPr>
  </w:style>
  <w:style w:type="paragraph" w:styleId="5">
    <w:name w:val="Body Text"/>
    <w:basedOn w:val="1"/>
    <w:qFormat/>
    <w:uiPriority w:val="99"/>
    <w:pPr>
      <w:spacing w:after="12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0"/>
    <w:rPr>
      <w:sz w:val="24"/>
    </w:rPr>
  </w:style>
  <w:style w:type="character" w:styleId="10">
    <w:name w:val="annotation reference"/>
    <w:basedOn w:val="9"/>
    <w:semiHidden/>
    <w:qFormat/>
    <w:uiPriority w:val="99"/>
    <w:rPr>
      <w:sz w:val="21"/>
      <w:szCs w:val="21"/>
    </w:rPr>
  </w:style>
  <w:style w:type="paragraph" w:customStyle="1" w:styleId="11">
    <w:name w:val="正文（公）"/>
    <w:basedOn w:val="7"/>
    <w:uiPriority w:val="0"/>
    <w:pPr>
      <w:spacing w:after="39"/>
      <w:ind w:firstLine="880" w:firstLineChars="200"/>
    </w:pPr>
    <w:rPr>
      <w:kern w:val="0"/>
      <w:sz w:val="32"/>
      <w:lang w:bidi="ar"/>
    </w:rPr>
  </w:style>
  <w:style w:type="paragraph" w:customStyle="1" w:styleId="12">
    <w:name w:val="样式 标题 2（一）王海生 + 首行缩进:  2 字符"/>
    <w:basedOn w:val="4"/>
    <w:qFormat/>
    <w:uiPriority w:val="99"/>
    <w:pPr>
      <w:keepNext w:val="0"/>
      <w:keepLines w:val="0"/>
      <w:autoSpaceDE w:val="0"/>
      <w:autoSpaceDN w:val="0"/>
      <w:adjustRightInd w:val="0"/>
      <w:snapToGrid w:val="0"/>
      <w:spacing w:before="0" w:after="0" w:line="480" w:lineRule="atLeast"/>
      <w:ind w:firstLine="560" w:firstLineChars="200"/>
      <w:textAlignment w:val="baseline"/>
    </w:pPr>
    <w:rPr>
      <w:rFonts w:eastAsia="黑体"/>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2021-07-01T12:01:00Z</dcterms:created>
  <dc:creator>左</dc:creator>
  <cp:lastModifiedBy>左</cp:lastModifiedBy>
  <dcterms:modified xsi:type="dcterms:W3CDTF">2021-07-01T12:02:33Z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0F2B1504BA714443B1FBBA328DEB1609</vt:lpwstr>
  </property>
</Properties>
</file>