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00" w:lineRule="exact"/>
        <w:jc w:val="center"/>
        <w:rPr>
          <w:rFonts w:hint="default" w:ascii="Times New Roman" w:hAnsi="Times New Roman" w:eastAsia="宋体" w:cs="Times New Roman"/>
          <w:color w:val="auto"/>
          <w:kern w:val="0"/>
          <w:sz w:val="30"/>
          <w:szCs w:val="30"/>
        </w:rPr>
      </w:pPr>
    </w:p>
    <w:p>
      <w:pPr>
        <w:adjustRightInd w:val="0"/>
        <w:snapToGrid w:val="0"/>
        <w:spacing w:line="700" w:lineRule="exact"/>
        <w:jc w:val="center"/>
        <w:rPr>
          <w:rFonts w:hint="default" w:ascii="Times New Roman" w:hAnsi="Times New Roman" w:eastAsia="宋体" w:cs="Times New Roman"/>
          <w:color w:val="auto"/>
          <w:kern w:val="0"/>
          <w:sz w:val="30"/>
          <w:szCs w:val="30"/>
        </w:rPr>
      </w:pPr>
    </w:p>
    <w:p>
      <w:pPr>
        <w:keepNext/>
        <w:keepLines/>
        <w:adjustRightInd w:val="0"/>
        <w:snapToGrid w:val="0"/>
        <w:spacing w:line="800" w:lineRule="exact"/>
        <w:jc w:val="center"/>
        <w:outlineLvl w:val="0"/>
        <w:rPr>
          <w:rFonts w:hint="default" w:ascii="Times New Roman" w:hAnsi="Times New Roman" w:eastAsia="宋体" w:cs="Times New Roman"/>
          <w:bCs/>
          <w:color w:val="auto"/>
          <w:kern w:val="44"/>
          <w:sz w:val="72"/>
          <w:szCs w:val="72"/>
        </w:rPr>
      </w:pPr>
      <w:r>
        <w:rPr>
          <w:rFonts w:hint="default" w:ascii="Times New Roman" w:hAnsi="Times New Roman" w:eastAsia="宋体" w:cs="Times New Roman"/>
          <w:bCs/>
          <w:color w:val="auto"/>
          <w:kern w:val="44"/>
          <w:sz w:val="72"/>
          <w:szCs w:val="72"/>
        </w:rPr>
        <w:t>建设项目环境影响报告表</w:t>
      </w:r>
    </w:p>
    <w:p>
      <w:pPr>
        <w:adjustRightInd w:val="0"/>
        <w:snapToGrid w:val="0"/>
        <w:spacing w:line="700" w:lineRule="exact"/>
        <w:jc w:val="center"/>
        <w:rPr>
          <w:rFonts w:hint="default" w:ascii="Times New Roman" w:hAnsi="Times New Roman" w:eastAsia="宋体" w:cs="Times New Roman"/>
          <w:color w:val="auto"/>
          <w:kern w:val="0"/>
          <w:sz w:val="36"/>
          <w:szCs w:val="36"/>
        </w:rPr>
      </w:pPr>
      <w:r>
        <w:rPr>
          <w:rFonts w:hint="default" w:ascii="Times New Roman" w:hAnsi="Times New Roman" w:eastAsia="宋体" w:cs="Times New Roman"/>
          <w:color w:val="auto"/>
          <w:kern w:val="0"/>
          <w:sz w:val="36"/>
          <w:szCs w:val="36"/>
        </w:rPr>
        <w:t>（</w:t>
      </w:r>
      <w:r>
        <w:rPr>
          <w:rFonts w:hint="eastAsia" w:cs="Times New Roman"/>
          <w:color w:val="auto"/>
          <w:kern w:val="0"/>
          <w:sz w:val="36"/>
          <w:szCs w:val="36"/>
          <w:lang w:eastAsia="zh-CN"/>
        </w:rPr>
        <w:t>公示本</w:t>
      </w:r>
      <w:r>
        <w:rPr>
          <w:rFonts w:hint="default" w:ascii="Times New Roman" w:hAnsi="Times New Roman" w:eastAsia="宋体" w:cs="Times New Roman"/>
          <w:color w:val="auto"/>
          <w:kern w:val="0"/>
          <w:sz w:val="36"/>
          <w:szCs w:val="36"/>
        </w:rPr>
        <w:t>）</w:t>
      </w:r>
    </w:p>
    <w:p>
      <w:pPr>
        <w:adjustRightInd w:val="0"/>
        <w:snapToGrid w:val="0"/>
        <w:spacing w:line="700" w:lineRule="exact"/>
        <w:jc w:val="center"/>
        <w:rPr>
          <w:rFonts w:hint="default" w:ascii="Times New Roman" w:hAnsi="Times New Roman" w:eastAsia="宋体" w:cs="Times New Roman"/>
          <w:color w:val="auto"/>
          <w:kern w:val="0"/>
          <w:sz w:val="36"/>
          <w:szCs w:val="36"/>
        </w:rPr>
      </w:pPr>
    </w:p>
    <w:p>
      <w:pPr>
        <w:adjustRightInd w:val="0"/>
        <w:snapToGrid w:val="0"/>
        <w:spacing w:line="700" w:lineRule="exact"/>
        <w:jc w:val="center"/>
        <w:rPr>
          <w:rFonts w:hint="default" w:ascii="Times New Roman" w:hAnsi="Times New Roman" w:eastAsia="宋体" w:cs="Times New Roman"/>
          <w:color w:val="auto"/>
          <w:kern w:val="0"/>
          <w:sz w:val="36"/>
          <w:szCs w:val="36"/>
        </w:rPr>
      </w:pPr>
    </w:p>
    <w:p>
      <w:pPr>
        <w:adjustRightInd w:val="0"/>
        <w:snapToGrid w:val="0"/>
        <w:spacing w:line="700" w:lineRule="exact"/>
        <w:jc w:val="center"/>
        <w:rPr>
          <w:rFonts w:hint="default" w:ascii="Times New Roman" w:hAnsi="Times New Roman" w:eastAsia="宋体" w:cs="Times New Roman"/>
          <w:color w:val="auto"/>
          <w:kern w:val="0"/>
          <w:sz w:val="36"/>
          <w:szCs w:val="36"/>
        </w:rPr>
      </w:pPr>
    </w:p>
    <w:p>
      <w:pPr>
        <w:adjustRightInd w:val="0"/>
        <w:snapToGrid w:val="0"/>
        <w:spacing w:line="700" w:lineRule="exact"/>
        <w:jc w:val="center"/>
        <w:rPr>
          <w:rFonts w:hint="default" w:ascii="Times New Roman" w:hAnsi="Times New Roman" w:eastAsia="宋体" w:cs="Times New Roman"/>
          <w:color w:val="auto"/>
          <w:kern w:val="0"/>
          <w:sz w:val="36"/>
          <w:szCs w:val="36"/>
        </w:rPr>
      </w:pPr>
    </w:p>
    <w:p>
      <w:pPr>
        <w:adjustRightInd w:val="0"/>
        <w:snapToGrid w:val="0"/>
        <w:spacing w:line="700" w:lineRule="exact"/>
        <w:rPr>
          <w:rFonts w:hint="default" w:ascii="Times New Roman" w:hAnsi="Times New Roman" w:eastAsia="宋体" w:cs="Times New Roman"/>
          <w:color w:val="auto"/>
          <w:kern w:val="0"/>
          <w:sz w:val="36"/>
          <w:szCs w:val="36"/>
        </w:rPr>
      </w:pPr>
    </w:p>
    <w:p>
      <w:pPr>
        <w:adjustRightInd w:val="0"/>
        <w:snapToGrid w:val="0"/>
        <w:spacing w:line="700" w:lineRule="exact"/>
        <w:jc w:val="center"/>
        <w:rPr>
          <w:rFonts w:hint="default" w:ascii="Times New Roman" w:hAnsi="Times New Roman" w:eastAsia="宋体" w:cs="Times New Roman"/>
          <w:color w:val="auto"/>
          <w:kern w:val="0"/>
          <w:sz w:val="36"/>
          <w:szCs w:val="36"/>
        </w:rPr>
      </w:pPr>
    </w:p>
    <w:tbl>
      <w:tblPr>
        <w:tblStyle w:val="77"/>
        <w:tblW w:w="9027" w:type="dxa"/>
        <w:jc w:val="center"/>
        <w:tblLayout w:type="fixed"/>
        <w:tblCellMar>
          <w:top w:w="0" w:type="dxa"/>
          <w:left w:w="108" w:type="dxa"/>
          <w:bottom w:w="0" w:type="dxa"/>
          <w:right w:w="108" w:type="dxa"/>
        </w:tblCellMar>
      </w:tblPr>
      <w:tblGrid>
        <w:gridCol w:w="2497"/>
        <w:gridCol w:w="6530"/>
      </w:tblGrid>
      <w:tr>
        <w:tblPrEx>
          <w:tblCellMar>
            <w:top w:w="0" w:type="dxa"/>
            <w:left w:w="108" w:type="dxa"/>
            <w:bottom w:w="0" w:type="dxa"/>
            <w:right w:w="108" w:type="dxa"/>
          </w:tblCellMar>
        </w:tblPrEx>
        <w:trPr>
          <w:trHeight w:val="851" w:hRule="atLeast"/>
          <w:jc w:val="center"/>
        </w:trPr>
        <w:tc>
          <w:tcPr>
            <w:tcW w:w="2497" w:type="dxa"/>
            <w:vAlign w:val="center"/>
          </w:tcPr>
          <w:p>
            <w:pPr>
              <w:spacing w:line="700" w:lineRule="exact"/>
              <w:jc w:val="distribute"/>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项目名称</w:t>
            </w:r>
            <w:r>
              <w:rPr>
                <w:rFonts w:hint="default" w:ascii="Times New Roman" w:hAnsi="Times New Roman" w:eastAsia="宋体" w:cs="Times New Roman"/>
                <w:color w:val="auto"/>
                <w:spacing w:val="-60"/>
                <w:sz w:val="32"/>
                <w:szCs w:val="32"/>
              </w:rPr>
              <w:t>：</w:t>
            </w:r>
          </w:p>
        </w:tc>
        <w:tc>
          <w:tcPr>
            <w:tcW w:w="6530" w:type="dxa"/>
            <w:vAlign w:val="center"/>
          </w:tcPr>
          <w:p>
            <w:pPr>
              <w:spacing w:line="700" w:lineRule="exact"/>
              <w:rPr>
                <w:rFonts w:hint="default" w:ascii="Times New Roman" w:hAnsi="Times New Roman" w:eastAsia="宋体" w:cs="Times New Roman"/>
                <w:color w:val="auto"/>
                <w:spacing w:val="-20"/>
                <w:sz w:val="32"/>
                <w:szCs w:val="32"/>
                <w:u w:val="single"/>
              </w:rPr>
            </w:pPr>
            <w:r>
              <w:rPr>
                <w:rFonts w:hint="default" w:ascii="Times New Roman" w:hAnsi="Times New Roman" w:eastAsia="宋体" w:cs="Times New Roman"/>
                <w:color w:val="auto"/>
                <w:spacing w:val="-20"/>
                <w:sz w:val="32"/>
                <w:szCs w:val="32"/>
                <w:u w:val="single"/>
              </w:rPr>
              <w:t>山西省繁峙县3000m³生活污水应急处理站项目</w:t>
            </w:r>
          </w:p>
        </w:tc>
      </w:tr>
      <w:tr>
        <w:tblPrEx>
          <w:tblCellMar>
            <w:top w:w="0" w:type="dxa"/>
            <w:left w:w="108" w:type="dxa"/>
            <w:bottom w:w="0" w:type="dxa"/>
            <w:right w:w="108" w:type="dxa"/>
          </w:tblCellMar>
        </w:tblPrEx>
        <w:trPr>
          <w:trHeight w:val="851" w:hRule="atLeast"/>
          <w:jc w:val="center"/>
        </w:trPr>
        <w:tc>
          <w:tcPr>
            <w:tcW w:w="2497" w:type="dxa"/>
            <w:vAlign w:val="center"/>
          </w:tcPr>
          <w:p>
            <w:pPr>
              <w:spacing w:line="700" w:lineRule="exact"/>
              <w:jc w:val="distribute"/>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建设单位</w:t>
            </w:r>
            <w:r>
              <w:rPr>
                <w:rFonts w:hint="default" w:ascii="Times New Roman" w:hAnsi="Times New Roman" w:eastAsia="宋体" w:cs="Times New Roman"/>
                <w:color w:val="auto"/>
                <w:spacing w:val="-60"/>
                <w:sz w:val="32"/>
                <w:szCs w:val="32"/>
              </w:rPr>
              <w:t>：</w:t>
            </w:r>
          </w:p>
        </w:tc>
        <w:tc>
          <w:tcPr>
            <w:tcW w:w="6530" w:type="dxa"/>
            <w:vAlign w:val="center"/>
          </w:tcPr>
          <w:p>
            <w:pPr>
              <w:spacing w:line="700" w:lineRule="exact"/>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u w:val="single"/>
              </w:rPr>
              <w:t>繁峙县市政工程服务中心</w:t>
            </w:r>
          </w:p>
        </w:tc>
      </w:tr>
    </w:tbl>
    <w:p>
      <w:pPr>
        <w:spacing w:line="700" w:lineRule="exact"/>
        <w:ind w:left="840" w:leftChars="400"/>
        <w:jc w:val="left"/>
        <w:rPr>
          <w:rFonts w:hint="default" w:ascii="Times New Roman" w:hAnsi="Times New Roman" w:eastAsia="宋体" w:cs="Times New Roman"/>
          <w:color w:val="auto"/>
          <w:sz w:val="36"/>
          <w:szCs w:val="36"/>
          <w:u w:val="single"/>
        </w:rPr>
      </w:pPr>
    </w:p>
    <w:p>
      <w:pPr>
        <w:tabs>
          <w:tab w:val="left" w:pos="2544"/>
        </w:tabs>
        <w:adjustRightInd w:val="0"/>
        <w:snapToGrid w:val="0"/>
        <w:spacing w:line="700" w:lineRule="exact"/>
        <w:rPr>
          <w:rFonts w:hint="default" w:ascii="Times New Roman" w:hAnsi="Times New Roman" w:eastAsia="宋体" w:cs="Times New Roman"/>
          <w:color w:val="auto"/>
          <w:sz w:val="36"/>
          <w:szCs w:val="36"/>
          <w:u w:val="single"/>
        </w:rPr>
      </w:pPr>
    </w:p>
    <w:p>
      <w:pPr>
        <w:tabs>
          <w:tab w:val="left" w:pos="2544"/>
        </w:tabs>
        <w:adjustRightInd w:val="0"/>
        <w:snapToGrid w:val="0"/>
        <w:spacing w:line="700" w:lineRule="exact"/>
        <w:rPr>
          <w:rFonts w:hint="default" w:ascii="Times New Roman" w:hAnsi="Times New Roman" w:eastAsia="宋体" w:cs="Times New Roman"/>
          <w:color w:val="auto"/>
          <w:sz w:val="36"/>
          <w:szCs w:val="36"/>
          <w:u w:val="single"/>
        </w:rPr>
      </w:pPr>
    </w:p>
    <w:p>
      <w:pPr>
        <w:tabs>
          <w:tab w:val="left" w:pos="2544"/>
        </w:tabs>
        <w:adjustRightInd w:val="0"/>
        <w:snapToGrid w:val="0"/>
        <w:spacing w:line="700" w:lineRule="exact"/>
        <w:rPr>
          <w:rFonts w:hint="default" w:ascii="Times New Roman" w:hAnsi="Times New Roman" w:eastAsia="宋体" w:cs="Times New Roman"/>
          <w:color w:val="auto"/>
          <w:sz w:val="36"/>
          <w:szCs w:val="36"/>
          <w:u w:val="single"/>
        </w:rPr>
      </w:pPr>
    </w:p>
    <w:p>
      <w:pPr>
        <w:tabs>
          <w:tab w:val="left" w:pos="2544"/>
        </w:tabs>
        <w:adjustRightInd w:val="0"/>
        <w:snapToGrid w:val="0"/>
        <w:spacing w:line="700" w:lineRule="exact"/>
        <w:rPr>
          <w:rFonts w:hint="default" w:ascii="Times New Roman" w:hAnsi="Times New Roman" w:eastAsia="宋体" w:cs="Times New Roman"/>
          <w:color w:val="auto"/>
          <w:sz w:val="36"/>
          <w:szCs w:val="36"/>
          <w:u w:val="single"/>
        </w:rPr>
      </w:pPr>
    </w:p>
    <w:p>
      <w:pPr>
        <w:adjustRightInd w:val="0"/>
        <w:snapToGrid w:val="0"/>
        <w:spacing w:line="700" w:lineRule="exact"/>
        <w:jc w:val="center"/>
        <w:rPr>
          <w:rFonts w:hint="default" w:ascii="Times New Roman" w:hAnsi="Times New Roman" w:eastAsia="宋体" w:cs="Times New Roman"/>
          <w:color w:val="auto"/>
          <w:kern w:val="0"/>
          <w:sz w:val="32"/>
          <w:szCs w:val="32"/>
        </w:rPr>
        <w:sectPr>
          <w:headerReference r:id="rId3" w:type="default"/>
          <w:footerReference r:id="rId5" w:type="default"/>
          <w:headerReference r:id="rId4" w:type="even"/>
          <w:pgSz w:w="11906" w:h="16838"/>
          <w:pgMar w:top="1361" w:right="1474" w:bottom="1361" w:left="1474" w:header="907" w:footer="1134" w:gutter="0"/>
          <w:pgBorders>
            <w:top w:val="none" w:sz="0" w:space="0"/>
            <w:left w:val="none" w:sz="0" w:space="0"/>
            <w:bottom w:val="none" w:sz="0" w:space="0"/>
            <w:right w:val="none" w:sz="0" w:space="0"/>
          </w:pgBorders>
          <w:pgNumType w:start="1"/>
          <w:cols w:space="720" w:num="1"/>
          <w:docGrid w:type="lines" w:linePitch="312" w:charSpace="0"/>
        </w:sectPr>
      </w:pPr>
      <w:r>
        <w:rPr>
          <w:rFonts w:hint="default" w:ascii="Times New Roman" w:hAnsi="Times New Roman" w:eastAsia="宋体" w:cs="Times New Roman"/>
          <w:color w:val="auto"/>
          <w:kern w:val="0"/>
          <w:sz w:val="32"/>
          <w:szCs w:val="32"/>
        </w:rPr>
        <w:t>编制日期：二0二0年</w:t>
      </w:r>
      <w:r>
        <w:rPr>
          <w:rFonts w:hint="default" w:ascii="Times New Roman" w:hAnsi="Times New Roman" w:eastAsia="宋体" w:cs="Times New Roman"/>
          <w:color w:val="auto"/>
          <w:kern w:val="0"/>
          <w:sz w:val="32"/>
          <w:szCs w:val="32"/>
          <w:lang w:eastAsia="zh-CN"/>
        </w:rPr>
        <w:t>十二</w:t>
      </w:r>
      <w:r>
        <w:rPr>
          <w:rFonts w:hint="default" w:ascii="Times New Roman" w:hAnsi="Times New Roman" w:eastAsia="宋体" w:cs="Times New Roman"/>
          <w:color w:val="auto"/>
          <w:kern w:val="0"/>
          <w:sz w:val="32"/>
          <w:szCs w:val="32"/>
        </w:rPr>
        <w:t>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w w:val="100"/>
          <w:position w:val="0"/>
          <w:sz w:val="24"/>
          <w:szCs w:val="24"/>
          <w:lang w:val="zh-CN" w:eastAsia="zh-CN" w:bidi="zh-CN"/>
        </w:rPr>
      </w:pPr>
      <w:r>
        <w:rPr>
          <w:rFonts w:hint="default" w:ascii="Times New Roman" w:hAnsi="Times New Roman" w:eastAsia="宋体" w:cs="Times New Roman"/>
          <w:b/>
          <w:bCs/>
          <w:color w:val="auto"/>
          <w:w w:val="100"/>
          <w:position w:val="0"/>
          <w:sz w:val="24"/>
          <w:szCs w:val="24"/>
          <w:lang w:val="zh-CN" w:eastAsia="zh-CN" w:bidi="zh-CN"/>
        </w:rPr>
        <w:t>《山西省繁峙县3000m³生活污水应急处理站项目》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w w:val="100"/>
          <w:position w:val="0"/>
          <w:sz w:val="24"/>
          <w:szCs w:val="24"/>
          <w:lang w:val="zh-CN" w:eastAsia="zh-CN" w:bidi="zh-CN"/>
        </w:rPr>
      </w:pPr>
      <w:r>
        <w:rPr>
          <w:rFonts w:hint="default" w:ascii="Times New Roman" w:hAnsi="Times New Roman" w:eastAsia="宋体" w:cs="Times New Roman"/>
          <w:b/>
          <w:bCs/>
          <w:color w:val="auto"/>
          <w:w w:val="100"/>
          <w:position w:val="0"/>
          <w:sz w:val="24"/>
          <w:szCs w:val="24"/>
          <w:lang w:val="zh-CN" w:eastAsia="zh-CN" w:bidi="zh-CN"/>
        </w:rPr>
        <w:t>环境影响报告修改说明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w w:val="100"/>
          <w:position w:val="0"/>
          <w:sz w:val="24"/>
          <w:szCs w:val="24"/>
          <w:lang w:val="zh-CN" w:eastAsia="zh-CN" w:bidi="zh-CN"/>
        </w:rPr>
        <w:t>2020年11月20日忻州市生态环境局繁峙分局主持召开“山西省繁峙县3000m³生活污水应急处理站项目环境影响报告表”技术审查会。参加会议的有建设单位繁峙县市政工程服务中心、环评单位山西中安质环环保科技给出有限公司的代表及专家。会议期间与会人员踏勘了项目厂址，听取了建设单位及编制单位对项目概括及“报告表”主要内容的汇报，经过认真讨论与评审，</w:t>
      </w:r>
      <w:r>
        <w:rPr>
          <w:rFonts w:hint="default" w:ascii="Times New Roman" w:hAnsi="Times New Roman" w:eastAsia="宋体" w:cs="Times New Roman"/>
          <w:color w:val="auto"/>
          <w:sz w:val="24"/>
          <w:lang w:val="en-US"/>
        </w:rPr>
        <w:t>形成</w:t>
      </w:r>
      <w:r>
        <w:rPr>
          <w:rFonts w:hint="default" w:ascii="Times New Roman" w:hAnsi="Times New Roman" w:eastAsia="宋体" w:cs="Times New Roman"/>
          <w:color w:val="auto"/>
          <w:sz w:val="24"/>
          <w:lang w:val="en-US" w:eastAsia="zh-CN"/>
        </w:rPr>
        <w:t>了</w:t>
      </w:r>
      <w:r>
        <w:rPr>
          <w:rFonts w:hint="default" w:ascii="Times New Roman" w:hAnsi="Times New Roman" w:eastAsia="宋体" w:cs="Times New Roman"/>
          <w:color w:val="auto"/>
          <w:w w:val="100"/>
          <w:position w:val="0"/>
          <w:sz w:val="24"/>
          <w:szCs w:val="24"/>
          <w:lang w:val="zh-CN" w:eastAsia="zh-CN" w:bidi="zh-CN"/>
        </w:rPr>
        <w:t>技术审查意见，</w:t>
      </w:r>
      <w:r>
        <w:rPr>
          <w:rFonts w:hint="default" w:ascii="Times New Roman" w:hAnsi="Times New Roman" w:eastAsia="宋体" w:cs="Times New Roman"/>
          <w:color w:val="auto"/>
          <w:w w:val="100"/>
          <w:position w:val="0"/>
          <w:sz w:val="24"/>
          <w:szCs w:val="24"/>
          <w:lang w:val="en-US" w:eastAsia="zh-CN" w:bidi="zh-CN"/>
        </w:rPr>
        <w:t>现根据技术审查人员提出的意见做出修改完善，具体修改内容如下表。</w:t>
      </w:r>
    </w:p>
    <w:tbl>
      <w:tblPr>
        <w:tblStyle w:val="77"/>
        <w:tblW w:w="5000" w:type="pct"/>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4138"/>
        <w:gridCol w:w="3917"/>
        <w:gridCol w:w="123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7"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专家意见</w:t>
            </w: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修改内容</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修改范围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390" w:hRule="atLeast"/>
        </w:trPr>
        <w:tc>
          <w:tcPr>
            <w:tcW w:w="2227" w:type="pct"/>
            <w:tcBorders>
              <w:tl2br w:val="nil"/>
              <w:tr2bl w:val="nil"/>
            </w:tcBorders>
            <w:noWrap w:val="0"/>
            <w:vAlign w:val="center"/>
          </w:tcPr>
          <w:p>
            <w:pPr>
              <w:pStyle w:val="95"/>
              <w:keepNext w:val="0"/>
              <w:keepLines w:val="0"/>
              <w:pageBreakBefore w:val="0"/>
              <w:numPr>
                <w:ilvl w:val="0"/>
                <w:numId w:val="0"/>
              </w:numPr>
              <w:kinsoku/>
              <w:wordWrap/>
              <w:overflowPunct/>
              <w:topLinePunct w:val="0"/>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按照2019年《山西省地表水环境功能区划》、《山西省污水综合排放标准》（DB14/1928-2019）和山西省人民政府对滹沱河繁峙县段地表水质量的考核要求，完善污水处理站污水排放执行的标准，作为应急污水处理站的设计依据。</w:t>
            </w: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已按照2019年《山西省地表水环境功能区划》、《山西省污水综合排放标准》（DB14/1928-2019）和山西省人民政府对滹沱河繁峙县段地表水质量的考核要求，完善污水处理站污水排放执行的标准</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P34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227"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2、补充繁峙县县城城市总体规划的给排水管网规划图，标出现有污水处理厂的位置和污水收集范围，调查和说明县城污水排放量、污水处理规划（多少县城污水未进入现有污水处理厂）、现有污水处理厂的运行现状和达标排放情况。本项目是在现有污水处理厂的基础上，增建的一套生活污水应急处理站，应介绍入水水质。</w:t>
            </w: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已补充繁峙县城区主排水管网现状图，并标出现有污水处理厂的位置和污水收集范围</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见附图4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227" w:type="pct"/>
            <w:vMerge w:val="continue"/>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rPr>
            </w:pP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已调查和说明县城污水排放量、污水处理规划（多少县城污水未进入现有污水处理厂）、现有污水处理厂的运行现状和达标排放情况</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227" w:type="pct"/>
            <w:vMerge w:val="continue"/>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已介绍入水水质</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227" w:type="pct"/>
            <w:vMerge w:val="restart"/>
            <w:tcBorders>
              <w:tl2br w:val="nil"/>
              <w:tr2bl w:val="nil"/>
            </w:tcBorders>
            <w:noWrap w:val="0"/>
            <w:vAlign w:val="center"/>
          </w:tcPr>
          <w:p>
            <w:pPr>
              <w:keepNext w:val="0"/>
              <w:keepLines w:val="0"/>
              <w:pageBreakBefore w:val="0"/>
              <w:widowControl w:val="0"/>
              <w:numPr>
                <w:ilvl w:val="0"/>
                <w:numId w:val="1"/>
              </w:numPr>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完善施工期环境问题分析和环保措施。按照《排污许可证申请与核发技术规范  水处理（试行）》和《排污许可证申请与核发技术规范  水处理》，结合产排污节点，细化采取的治理措施内容介绍。完善设施保温和臭气治理措施的内容、实现稳定达标的应急保证措施。</w:t>
            </w: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完善施工期环境问题分析和环保措施</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P43-50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227" w:type="pct"/>
            <w:vMerge w:val="continue"/>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rPr>
            </w:pP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已按照《排污许可证申请与核发技术规范  水处理（试行）》，并结合产排污节点，细化采取的治理措施内容介绍</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P51-66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227" w:type="pct"/>
            <w:vMerge w:val="continue"/>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108"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已完善设施保温和臭气治理措施的内容、实现稳定达标的应急保证措施</w:t>
            </w:r>
          </w:p>
        </w:tc>
        <w:tc>
          <w:tcPr>
            <w:tcW w:w="663"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P51</w:t>
            </w:r>
          </w:p>
        </w:tc>
      </w:tr>
    </w:tbl>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sectPr>
          <w:headerReference r:id="rId6" w:type="default"/>
          <w:footerReference r:id="rId7" w:type="default"/>
          <w:pgSz w:w="11906" w:h="16838"/>
          <w:pgMar w:top="1417" w:right="1418" w:bottom="1417" w:left="1417" w:header="851" w:footer="992" w:gutter="0"/>
          <w:pgBorders>
            <w:top w:val="none" w:sz="0" w:space="0"/>
            <w:left w:val="none" w:sz="0" w:space="0"/>
            <w:bottom w:val="none" w:sz="0" w:space="0"/>
            <w:right w:val="none" w:sz="0" w:space="0"/>
          </w:pgBorders>
          <w:pgNumType w:fmt="numberInDash" w:start="1"/>
          <w:cols w:space="720" w:num="1"/>
          <w:titlePg/>
          <w:docGrid w:linePitch="312" w:charSpace="0"/>
        </w:sectPr>
      </w:pPr>
    </w:p>
    <w:tbl>
      <w:tblPr>
        <w:tblStyle w:val="77"/>
        <w:tblW w:w="5000" w:type="pct"/>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3670"/>
        <w:gridCol w:w="1427"/>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22" w:type="pct"/>
            <w:vMerge w:val="restart"/>
            <w:tcBorders>
              <w:tl2br w:val="nil"/>
              <w:tr2bl w:val="nil"/>
            </w:tcBorders>
            <w:noWrap w:val="0"/>
            <w:vAlign w:val="center"/>
          </w:tcPr>
          <w:p>
            <w:pPr>
              <w:pStyle w:val="95"/>
              <w:keepNext w:val="0"/>
              <w:keepLines w:val="0"/>
              <w:pageBreakBefore w:val="0"/>
              <w:numPr>
                <w:ilvl w:val="0"/>
                <w:numId w:val="0"/>
              </w:numPr>
              <w:kinsoku/>
              <w:wordWrap/>
              <w:overflowPunct/>
              <w:topLinePunct w:val="0"/>
              <w:bidi w:val="0"/>
              <w:spacing w:line="240" w:lineRule="auto"/>
              <w:ind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收集和介绍滹沱河繁峙县段的水文情势、近3年的水质监测资料，分析滹沱河繁峙县段的水质变化趋势。污水处理站距离滹沱河100m左右，应按照《山西省水污染防治条例》，分析选址的合理性。根据Ⅲ类地表水的水质标准和管理要求，在核实污水处理站排水水质的基础上，完善地表水环境影响评价内容</w:t>
            </w:r>
          </w:p>
        </w:tc>
        <w:tc>
          <w:tcPr>
            <w:tcW w:w="2000"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已收集和介绍滹沱河繁峙县段的水文情势、近3年的水质监测资料，分析滹沱河繁峙县段的水质变化趋势</w:t>
            </w:r>
          </w:p>
        </w:tc>
        <w:tc>
          <w:tcPr>
            <w:tcW w:w="777"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P12、P23-24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222" w:type="pct"/>
            <w:vMerge w:val="continue"/>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rPr>
            </w:pPr>
          </w:p>
        </w:tc>
        <w:tc>
          <w:tcPr>
            <w:tcW w:w="2000"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污水处理站距离滹沱河100m左右，应按照《山西省水污染防治条例》，分析选址的合理性</w:t>
            </w:r>
          </w:p>
        </w:tc>
        <w:tc>
          <w:tcPr>
            <w:tcW w:w="777"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222" w:type="pct"/>
            <w:vMerge w:val="continue"/>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rPr>
            </w:pPr>
          </w:p>
        </w:tc>
        <w:tc>
          <w:tcPr>
            <w:tcW w:w="2000"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已根据Ⅲ类地表水的水质标准和管理要求，在核实污水处理站排水水质的基础上，完善地表水环境影响评价内容</w:t>
            </w:r>
          </w:p>
        </w:tc>
        <w:tc>
          <w:tcPr>
            <w:tcW w:w="777"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见地表水专题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222" w:type="pct"/>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介绍场地的地层岩性、水文地质条件和含水层类型，完善对目标含水层的影响评价内容。参照《地下水污染防渗技术指南》，给出处理站基础的防渗方案。平面布置图补充场地地下水监控井的位置和打井深度要求</w:t>
            </w:r>
          </w:p>
        </w:tc>
        <w:tc>
          <w:tcPr>
            <w:tcW w:w="2000"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已介绍场地的地层岩性、水文地质条件和含水层类型，完善对目标含水层的影响评价内容</w:t>
            </w:r>
          </w:p>
        </w:tc>
        <w:tc>
          <w:tcPr>
            <w:tcW w:w="777" w:type="pct"/>
            <w:tcBorders>
              <w:tl2br w:val="nil"/>
              <w:tr2bl w:val="nil"/>
            </w:tcBorders>
            <w:noWrap w:val="0"/>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见地下水专题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222"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color w:val="auto"/>
              </w:rPr>
            </w:pPr>
          </w:p>
        </w:tc>
        <w:tc>
          <w:tcPr>
            <w:tcW w:w="2000" w:type="pct"/>
            <w:tcBorders>
              <w:tl2br w:val="nil"/>
              <w:tr2bl w:val="nil"/>
            </w:tcBorders>
            <w:noWrap w:val="0"/>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已参照《地下水污染防渗技术指南》，给出处理站基础的防渗方案。</w:t>
            </w:r>
          </w:p>
        </w:tc>
        <w:tc>
          <w:tcPr>
            <w:tcW w:w="777" w:type="pct"/>
            <w:tcBorders>
              <w:tl2br w:val="nil"/>
              <w:tr2bl w:val="nil"/>
            </w:tcBorders>
            <w:noWrap w:val="0"/>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见地下水专题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222"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20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已在平面布置图补充场地地下水监控井的位置，在地下水专题中描述打井深度要求</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地下水监控井的位置</w:t>
            </w:r>
            <w:r>
              <w:rPr>
                <w:rFonts w:hint="default" w:ascii="Times New Roman" w:hAnsi="Times New Roman" w:eastAsia="宋体" w:cs="Times New Roman"/>
                <w:color w:val="auto"/>
                <w:lang w:val="en-US" w:eastAsia="zh-CN"/>
              </w:rPr>
              <w:t>见附图3；</w:t>
            </w:r>
          </w:p>
          <w:p>
            <w:pPr>
              <w:pStyle w:val="75"/>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打井深度要求见地下水专题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222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zh-CN"/>
              </w:rPr>
              <w:t>按照排污许可证管理要求，完善环境监测计划的内容。补充项目信息公开和报告的内容</w:t>
            </w:r>
          </w:p>
        </w:tc>
        <w:tc>
          <w:tcPr>
            <w:tcW w:w="2000"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lang w:val="zh-CN"/>
              </w:rPr>
              <w:t>按照排污许可证管理要求，完善环境监测计划的内容。补充项目信息公开和报告的内容</w:t>
            </w:r>
          </w:p>
        </w:tc>
        <w:tc>
          <w:tcPr>
            <w:tcW w:w="777" w:type="pct"/>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P68-69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pStyle w:val="95"/>
              <w:keepNext w:val="0"/>
              <w:keepLines w:val="0"/>
              <w:pageBreakBefore w:val="0"/>
              <w:widowControl w:val="0"/>
              <w:kinsoku/>
              <w:wordWrap/>
              <w:overflowPunct/>
              <w:topLinePunct w:val="0"/>
              <w:bidi w:val="0"/>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同时对环境影响报告表的其他相关内容进行了修改</w:t>
            </w:r>
          </w:p>
        </w:tc>
      </w:tr>
    </w:tbl>
    <w:p>
      <w:pPr>
        <w:spacing w:line="360" w:lineRule="auto"/>
        <w:jc w:val="center"/>
        <w:rPr>
          <w:rFonts w:hint="default" w:ascii="Times New Roman" w:hAnsi="Times New Roman" w:eastAsia="宋体" w:cs="Times New Roman"/>
          <w:b/>
          <w:bCs/>
          <w:color w:val="auto"/>
          <w:sz w:val="36"/>
          <w:szCs w:val="36"/>
        </w:rPr>
        <w:sectPr>
          <w:pgSz w:w="11906" w:h="16838"/>
          <w:pgMar w:top="1361" w:right="1474" w:bottom="1361" w:left="1474" w:header="907" w:footer="1134" w:gutter="0"/>
          <w:pgBorders>
            <w:top w:val="none" w:sz="0" w:space="0"/>
            <w:left w:val="none" w:sz="0" w:space="0"/>
            <w:bottom w:val="none" w:sz="0" w:space="0"/>
            <w:right w:val="none" w:sz="0" w:space="0"/>
          </w:pgBorders>
          <w:pgNumType w:start="1"/>
          <w:cols w:space="720" w:num="1"/>
          <w:docGrid w:type="lines" w:linePitch="312" w:charSpace="0"/>
        </w:sectPr>
      </w:pPr>
    </w:p>
    <w:p>
      <w:pPr>
        <w:spacing w:line="360" w:lineRule="auto"/>
        <w:jc w:val="center"/>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rPr>
        <w:t>《建设项目环境影响报告表》编制说明</w:t>
      </w:r>
    </w:p>
    <w:p>
      <w:pPr>
        <w:rPr>
          <w:rFonts w:hint="default" w:ascii="Times New Roman" w:hAnsi="Times New Roman" w:eastAsia="宋体" w:cs="Times New Roman"/>
          <w:color w:val="auto"/>
          <w:sz w:val="32"/>
        </w:rPr>
      </w:pP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《建设项目环境影响报告表》由具有环境影响评价资质的单位编制。</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1、项目名称——指项目立项批复时的名称，应不超过30个字（两个英文字段作一个汉字）。</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2、建设地点——指项目所在地详细地址，公路、铁路应写明起止地点。</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3、行业类别——按国标填写。</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4、总投资——指项目投资总额。</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5、主要环境保护目标——指项目区周围一定范围内集中居民住宅区、学校、医院、保护文物、风景名胜区、水源地和生态敏感点等，应尽可能给出保护目标性质、规模和距厂界距离等。</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6、结论与建议——给出本项目清洁生产、达标排放和总量控制的分析结论，确定污染防治措施的有效性，说明本项目对环境造成的影响，给出建设项目环境可行性的明确结论。同时提出减少环境影响的其他建议。</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7、预审意见——由行业主管部门填写答复意见，无主管部门项目，可不填。</w:t>
      </w:r>
    </w:p>
    <w:p>
      <w:pPr>
        <w:ind w:firstLine="640" w:firstLineChars="200"/>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8、审批意见——由负责审批该项目的环境保护行政主管部门批复。</w:t>
      </w:r>
    </w:p>
    <w:p>
      <w:pPr>
        <w:adjustRightInd w:val="0"/>
        <w:snapToGrid w:val="0"/>
        <w:spacing w:line="500" w:lineRule="exact"/>
        <w:rPr>
          <w:rFonts w:hint="default" w:ascii="Times New Roman" w:hAnsi="Times New Roman" w:eastAsia="宋体" w:cs="Times New Roman"/>
          <w:b/>
          <w:color w:val="auto"/>
          <w:sz w:val="32"/>
          <w:szCs w:val="32"/>
        </w:rPr>
        <w:sectPr>
          <w:footerReference r:id="rId8" w:type="default"/>
          <w:pgSz w:w="11906" w:h="16838"/>
          <w:pgMar w:top="1361" w:right="1474" w:bottom="1361" w:left="1474" w:header="907" w:footer="1134" w:gutter="0"/>
          <w:pgBorders>
            <w:top w:val="none" w:sz="0" w:space="0"/>
            <w:left w:val="none" w:sz="0" w:space="0"/>
            <w:bottom w:val="none" w:sz="0" w:space="0"/>
            <w:right w:val="none" w:sz="0" w:space="0"/>
          </w:pgBorders>
          <w:pgNumType w:start="1"/>
          <w:cols w:space="720" w:num="1"/>
          <w:docGrid w:type="lines" w:linePitch="312" w:charSpace="0"/>
        </w:sectPr>
      </w:pPr>
    </w:p>
    <w:p>
      <w:pPr>
        <w:keepNext/>
        <w:keepLines/>
        <w:widowControl/>
        <w:spacing w:line="600" w:lineRule="exact"/>
        <w:outlineLvl w:val="1"/>
        <w:rPr>
          <w:rFonts w:hint="default" w:ascii="Times New Roman" w:hAnsi="Times New Roman" w:eastAsia="宋体" w:cs="Times New Roman"/>
          <w:b/>
          <w:color w:val="auto"/>
          <w:kern w:val="0"/>
          <w:sz w:val="32"/>
          <w:szCs w:val="32"/>
          <w:lang w:val="zh-CN"/>
        </w:rPr>
      </w:pPr>
      <w:r>
        <w:rPr>
          <w:rFonts w:hint="default" w:ascii="Times New Roman" w:hAnsi="Times New Roman" w:eastAsia="宋体" w:cs="Times New Roman"/>
          <w:b/>
          <w:color w:val="auto"/>
          <w:kern w:val="0"/>
          <w:sz w:val="32"/>
          <w:szCs w:val="32"/>
          <w:lang w:val="zh-CN"/>
        </w:rPr>
        <w:t>建设项目基本情况</w:t>
      </w:r>
    </w:p>
    <w:tbl>
      <w:tblPr>
        <w:tblStyle w:val="77"/>
        <w:tblW w:w="94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7"/>
        <w:gridCol w:w="1503"/>
        <w:gridCol w:w="513"/>
        <w:gridCol w:w="1061"/>
        <w:gridCol w:w="1342"/>
        <w:gridCol w:w="1981"/>
        <w:gridCol w:w="12"/>
        <w:gridCol w:w="13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p>
        </w:tc>
        <w:tc>
          <w:tcPr>
            <w:tcW w:w="7800" w:type="dxa"/>
            <w:gridSpan w:val="7"/>
            <w:tcBorders>
              <w:tl2br w:val="nil"/>
              <w:tr2bl w:val="nil"/>
            </w:tcBorders>
            <w:vAlign w:val="center"/>
          </w:tcPr>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山西省繁峙县3000m³生活污水应急处理站项目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p>
        </w:tc>
        <w:tc>
          <w:tcPr>
            <w:tcW w:w="7800" w:type="dxa"/>
            <w:gridSpan w:val="7"/>
            <w:tcBorders>
              <w:tl2br w:val="nil"/>
              <w:tr2bl w:val="nil"/>
            </w:tcBorders>
            <w:vAlign w:val="center"/>
          </w:tcPr>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繁峙县市政工程服务中心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法人代表</w:t>
            </w:r>
          </w:p>
        </w:tc>
        <w:tc>
          <w:tcPr>
            <w:tcW w:w="3077" w:type="dxa"/>
            <w:gridSpan w:val="3"/>
            <w:tcBorders>
              <w:tl2br w:val="nil"/>
              <w:tr2bl w:val="nil"/>
            </w:tcBorders>
            <w:vAlign w:val="center"/>
          </w:tcPr>
          <w:p>
            <w:pPr>
              <w:widowControl/>
              <w:autoSpaceDE w:val="0"/>
              <w:autoSpaceDN w:val="0"/>
              <w:ind w:firstLine="480"/>
              <w:jc w:val="center"/>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方富国</w:t>
            </w:r>
          </w:p>
        </w:tc>
        <w:tc>
          <w:tcPr>
            <w:tcW w:w="1342"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联系人</w:t>
            </w:r>
          </w:p>
        </w:tc>
        <w:tc>
          <w:tcPr>
            <w:tcW w:w="3381" w:type="dxa"/>
            <w:gridSpan w:val="3"/>
            <w:tcBorders>
              <w:tl2br w:val="nil"/>
              <w:tr2bl w:val="nil"/>
            </w:tcBorders>
            <w:vAlign w:val="center"/>
          </w:tcPr>
          <w:p>
            <w:pPr>
              <w:widowControl/>
              <w:autoSpaceDE w:val="0"/>
              <w:autoSpaceDN w:val="0"/>
              <w:ind w:firstLine="48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孙瑞卿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通讯地址</w:t>
            </w:r>
          </w:p>
        </w:tc>
        <w:tc>
          <w:tcPr>
            <w:tcW w:w="7800" w:type="dxa"/>
            <w:gridSpan w:val="7"/>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繁峙县住建局三楼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联系电话</w:t>
            </w:r>
          </w:p>
        </w:tc>
        <w:tc>
          <w:tcPr>
            <w:tcW w:w="2016" w:type="dxa"/>
            <w:gridSpan w:val="2"/>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18636000046</w:t>
            </w:r>
          </w:p>
        </w:tc>
        <w:tc>
          <w:tcPr>
            <w:tcW w:w="1061"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传真</w:t>
            </w:r>
          </w:p>
        </w:tc>
        <w:tc>
          <w:tcPr>
            <w:tcW w:w="1342"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w:t>
            </w:r>
          </w:p>
        </w:tc>
        <w:tc>
          <w:tcPr>
            <w:tcW w:w="1981"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邮政编码</w:t>
            </w:r>
          </w:p>
        </w:tc>
        <w:tc>
          <w:tcPr>
            <w:tcW w:w="1400" w:type="dxa"/>
            <w:gridSpan w:val="2"/>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034300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800" w:type="dxa"/>
            <w:gridSpan w:val="7"/>
            <w:tcBorders>
              <w:tl2br w:val="nil"/>
              <w:tr2bl w:val="nil"/>
            </w:tcBorders>
            <w:vAlign w:val="center"/>
          </w:tcPr>
          <w:p>
            <w:pPr>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繁峙县滨河北大道和双拥路交叉口西北角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立项审批部门</w:t>
            </w:r>
          </w:p>
        </w:tc>
        <w:tc>
          <w:tcPr>
            <w:tcW w:w="3077" w:type="dxa"/>
            <w:gridSpan w:val="3"/>
            <w:tcBorders>
              <w:tl2br w:val="nil"/>
              <w:tr2bl w:val="nil"/>
            </w:tcBorders>
            <w:vAlign w:val="center"/>
          </w:tcPr>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批准文号</w:t>
            </w:r>
          </w:p>
        </w:tc>
        <w:tc>
          <w:tcPr>
            <w:tcW w:w="3381" w:type="dxa"/>
            <w:gridSpan w:val="3"/>
            <w:tcBorders>
              <w:tl2br w:val="nil"/>
              <w:tr2bl w:val="nil"/>
            </w:tcBorders>
            <w:vAlign w:val="center"/>
          </w:tcPr>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3077" w:type="dxa"/>
            <w:gridSpan w:val="3"/>
            <w:tcBorders>
              <w:tl2br w:val="nil"/>
              <w:tr2bl w:val="nil"/>
            </w:tcBorders>
            <w:vAlign w:val="center"/>
          </w:tcPr>
          <w:p>
            <w:pPr>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新建√改扩建□技改□</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及代码</w:t>
            </w:r>
          </w:p>
        </w:tc>
        <w:tc>
          <w:tcPr>
            <w:tcW w:w="3381" w:type="dxa"/>
            <w:gridSpan w:val="3"/>
            <w:tcBorders>
              <w:tl2br w:val="nil"/>
              <w:tr2bl w:val="nil"/>
            </w:tcBorders>
            <w:vAlign w:val="center"/>
          </w:tcPr>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D4620污水处理及其再生利用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占地面积</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（平方米）</w:t>
            </w:r>
          </w:p>
        </w:tc>
        <w:tc>
          <w:tcPr>
            <w:tcW w:w="3077" w:type="dxa"/>
            <w:gridSpan w:val="3"/>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3333</w:t>
            </w:r>
          </w:p>
        </w:tc>
        <w:tc>
          <w:tcPr>
            <w:tcW w:w="1342"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绿化面积</w:t>
            </w:r>
          </w:p>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（平方米）</w:t>
            </w:r>
          </w:p>
        </w:tc>
        <w:tc>
          <w:tcPr>
            <w:tcW w:w="3381" w:type="dxa"/>
            <w:gridSpan w:val="3"/>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503"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1451.25</w:t>
            </w:r>
          </w:p>
        </w:tc>
        <w:tc>
          <w:tcPr>
            <w:tcW w:w="1574" w:type="dxa"/>
            <w:gridSpan w:val="2"/>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其中：环保投资（万元）</w:t>
            </w:r>
          </w:p>
        </w:tc>
        <w:tc>
          <w:tcPr>
            <w:tcW w:w="1342"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67.5</w:t>
            </w:r>
          </w:p>
        </w:tc>
        <w:tc>
          <w:tcPr>
            <w:tcW w:w="1993" w:type="dxa"/>
            <w:gridSpan w:val="2"/>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环保投资占</w:t>
            </w:r>
          </w:p>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总投资比例</w:t>
            </w:r>
          </w:p>
        </w:tc>
        <w:tc>
          <w:tcPr>
            <w:tcW w:w="1388" w:type="dxa"/>
            <w:tcBorders>
              <w:tl2br w:val="nil"/>
              <w:tr2bl w:val="nil"/>
            </w:tcBorders>
            <w:vAlign w:val="center"/>
          </w:tcPr>
          <w:p>
            <w:pPr>
              <w:widowControl/>
              <w:autoSpaceDE w:val="0"/>
              <w:autoSpaceDN w:val="0"/>
              <w:jc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评价经费</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3077"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预期投</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产日期</w:t>
            </w:r>
          </w:p>
        </w:tc>
        <w:tc>
          <w:tcPr>
            <w:tcW w:w="3381"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8" w:hRule="atLeast"/>
          <w:jc w:val="center"/>
        </w:trPr>
        <w:tc>
          <w:tcPr>
            <w:tcW w:w="9457"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480" w:lineRule="exact"/>
              <w:jc w:val="left"/>
              <w:outlineLvl w:val="0"/>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工程内容及规模</w:t>
            </w:r>
          </w:p>
          <w:p>
            <w:pPr>
              <w:keepNext w:val="0"/>
              <w:keepLines w:val="0"/>
              <w:pageBreakBefore w:val="0"/>
              <w:widowControl w:val="0"/>
              <w:kinsoku/>
              <w:wordWrap/>
              <w:overflowPunct/>
              <w:topLinePunct w:val="0"/>
              <w:autoSpaceDE/>
              <w:autoSpaceDN/>
              <w:bidi w:val="0"/>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1.1项目的由来</w:t>
            </w:r>
          </w:p>
          <w:p>
            <w:pPr>
              <w:keepNext w:val="0"/>
              <w:keepLines w:val="0"/>
              <w:pageBreakBefore w:val="0"/>
              <w:widowControl w:val="0"/>
              <w:kinsoku/>
              <w:wordWrap/>
              <w:overflowPunct/>
              <w:topLinePunct w:val="0"/>
              <w:autoSpaceDE/>
              <w:autoSpaceDN/>
              <w:bidi w:val="0"/>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1.1.1项目提出的背景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是国民经济发展中不可替代的重要资源，也是人类赖以生存和发展的必需品。随着经济发展和城市化进程的加快，城市缺水问题尤为突出。当前相当一部分城市水资源短缺，城市缺水范围不断扩大，缺水程度日趋严重，引起工业及生活用水紧张。另一方面生活污水排放量迅速增加，这样势必会造成水资源的浪费和水环境恶化，使原本紧张的用水形势更加严峻。为缓解这种区域性的水资源短缺和水环境污染问题，国家正在进行大规模的节水和水污染治理工作。</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繁峙县县城于</w:t>
            </w:r>
            <w:r>
              <w:rPr>
                <w:rFonts w:hint="default" w:ascii="Times New Roman" w:hAnsi="Times New Roman" w:eastAsia="宋体" w:cs="Times New Roman"/>
                <w:color w:val="auto"/>
                <w:sz w:val="24"/>
                <w:lang w:val="en-US" w:eastAsia="zh-CN"/>
              </w:rPr>
              <w:t>2004年</w:t>
            </w:r>
            <w:r>
              <w:rPr>
                <w:rFonts w:hint="default" w:ascii="Times New Roman" w:hAnsi="Times New Roman" w:eastAsia="宋体" w:cs="Times New Roman"/>
                <w:color w:val="auto"/>
                <w:sz w:val="24"/>
                <w:lang w:eastAsia="zh-CN"/>
              </w:rPr>
              <w:t>建设了现有的繁峙县污水处理厂</w:t>
            </w:r>
            <w:r>
              <w:rPr>
                <w:rFonts w:hint="default" w:ascii="Times New Roman" w:hAnsi="Times New Roman" w:eastAsia="宋体" w:cs="Times New Roman"/>
                <w:color w:val="auto"/>
                <w:sz w:val="24"/>
                <w:lang w:val="en-US" w:eastAsia="zh-CN"/>
              </w:rPr>
              <w:t>繁峙县县城污水工程规划图（2010-2030）</w:t>
            </w:r>
            <w:r>
              <w:rPr>
                <w:rFonts w:hint="default" w:ascii="Times New Roman" w:hAnsi="Times New Roman" w:eastAsia="宋体" w:cs="Times New Roman"/>
                <w:color w:val="auto"/>
                <w:sz w:val="24"/>
                <w:lang w:eastAsia="zh-CN"/>
              </w:rPr>
              <w:t>及现有的繁峙县</w:t>
            </w:r>
            <w:r>
              <w:rPr>
                <w:rFonts w:hint="default" w:ascii="Times New Roman" w:hAnsi="Times New Roman" w:eastAsia="宋体" w:cs="Times New Roman"/>
                <w:color w:val="auto"/>
                <w:sz w:val="24"/>
                <w:lang w:val="zh-CN" w:eastAsia="zh-CN"/>
              </w:rPr>
              <w:t>污水处理厂的收集范围见附图</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污水厂</w:t>
            </w:r>
            <w:r>
              <w:rPr>
                <w:rFonts w:hint="default" w:ascii="Times New Roman" w:hAnsi="Times New Roman" w:eastAsia="宋体" w:cs="Times New Roman"/>
                <w:color w:val="auto"/>
                <w:sz w:val="24"/>
                <w:lang w:eastAsia="zh-CN"/>
              </w:rPr>
              <w:t>目前正常运转，</w:t>
            </w:r>
            <w:r>
              <w:rPr>
                <w:rFonts w:hint="default" w:ascii="Times New Roman" w:hAnsi="Times New Roman" w:eastAsia="宋体" w:cs="Times New Roman"/>
                <w:color w:val="auto"/>
                <w:sz w:val="24"/>
              </w:rPr>
              <w:t>现有处理规模为1.5万m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/d，由于地势较高</w:t>
            </w:r>
            <w:r>
              <w:rPr>
                <w:rFonts w:hint="default" w:ascii="Times New Roman" w:hAnsi="Times New Roman" w:eastAsia="宋体" w:cs="Times New Roman"/>
                <w:color w:val="auto"/>
                <w:sz w:val="24"/>
                <w:lang w:eastAsia="zh-CN"/>
              </w:rPr>
              <w:t>且</w:t>
            </w:r>
            <w:r>
              <w:rPr>
                <w:rFonts w:hint="default" w:ascii="Times New Roman" w:hAnsi="Times New Roman" w:eastAsia="宋体" w:cs="Times New Roman"/>
                <w:color w:val="auto"/>
                <w:sz w:val="24"/>
              </w:rPr>
              <w:t>县城区域内部分地段收集系统不完善，生活污水无法直接进入繁峙县现有污水处理厂，目前通过泵站把污水提升到繁峙县现有污水处理厂处理，</w:t>
            </w:r>
            <w:r>
              <w:rPr>
                <w:rFonts w:hint="default" w:ascii="Times New Roman" w:hAnsi="Times New Roman" w:eastAsia="宋体" w:cs="Times New Roman"/>
                <w:color w:val="auto"/>
                <w:sz w:val="24"/>
                <w:lang w:eastAsia="zh-CN"/>
              </w:rPr>
              <w:t>处理后的CODcr、TP、NH</w:t>
            </w:r>
            <w:r>
              <w:rPr>
                <w:rFonts w:hint="default" w:ascii="Times New Roman" w:hAnsi="Times New Roman" w:eastAsia="宋体" w:cs="Times New Roman"/>
                <w:color w:val="auto"/>
                <w:sz w:val="24"/>
                <w:vertAlign w:val="subscript"/>
                <w:lang w:eastAsia="zh-CN"/>
              </w:rPr>
              <w:t>3</w:t>
            </w:r>
            <w:r>
              <w:rPr>
                <w:rFonts w:hint="default" w:ascii="Times New Roman" w:hAnsi="Times New Roman" w:eastAsia="宋体" w:cs="Times New Roman"/>
                <w:color w:val="auto"/>
                <w:sz w:val="24"/>
                <w:lang w:eastAsia="zh-CN"/>
              </w:rPr>
              <w:t>-N排放浓度可达到《地表水环境质量标准》(GB3838-2002)V类标准，其余指标可达到《城镇污水处理站污染物排放标准》（GB18918-2002）一级A标准。</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繁峙</w:t>
            </w:r>
            <w:r>
              <w:rPr>
                <w:rFonts w:hint="default" w:ascii="Times New Roman" w:hAnsi="Times New Roman" w:eastAsia="宋体" w:cs="Times New Roman"/>
                <w:color w:val="auto"/>
                <w:sz w:val="24"/>
              </w:rPr>
              <w:t>县城区域人口的增加和工业的加速发展给社会带来经济效益的同时，也给居民的生存环境带来压力</w:t>
            </w:r>
            <w:r>
              <w:rPr>
                <w:rFonts w:hint="default" w:ascii="Times New Roman" w:hAnsi="Times New Roman" w:eastAsia="宋体" w:cs="Times New Roman"/>
                <w:color w:val="auto"/>
                <w:sz w:val="24"/>
                <w:lang w:eastAsia="zh-CN"/>
              </w:rPr>
              <w:t>，繁峙县目前县城污水产生量达到</w:t>
            </w:r>
            <w:r>
              <w:rPr>
                <w:rFonts w:hint="default"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，继续发展将会</w:t>
            </w:r>
            <w:r>
              <w:rPr>
                <w:rFonts w:hint="default" w:ascii="Times New Roman" w:hAnsi="Times New Roman" w:eastAsia="宋体" w:cs="Times New Roman"/>
                <w:color w:val="auto"/>
                <w:sz w:val="24"/>
              </w:rPr>
              <w:t>超过该县城污水处理厂的处理能力，</w:t>
            </w:r>
            <w:r>
              <w:rPr>
                <w:rFonts w:hint="default" w:ascii="Times New Roman" w:hAnsi="Times New Roman" w:eastAsia="宋体" w:cs="Times New Roman"/>
                <w:color w:val="auto"/>
                <w:sz w:val="24"/>
                <w:lang w:eastAsia="zh-CN"/>
              </w:rPr>
              <w:t>届时将造成超出县城污水处理厂部分直排的不利情况，</w:t>
            </w:r>
            <w:r>
              <w:rPr>
                <w:rFonts w:hint="default" w:ascii="Times New Roman" w:hAnsi="Times New Roman" w:eastAsia="宋体" w:cs="Times New Roman"/>
                <w:color w:val="auto"/>
                <w:sz w:val="24"/>
              </w:rPr>
              <w:t>这与将要建立的现代化城市极不相称，无法为居民提供一个良好的人居环境，也与可持续发展战略相违背，不利于经济的发展。为切实采取有效措施解决环境问题，使污水有处可排，治理污水使之无害排放。</w:t>
            </w:r>
          </w:p>
          <w:p>
            <w:pPr>
              <w:keepNext w:val="0"/>
              <w:keepLines w:val="0"/>
              <w:pageBreakBefore w:val="0"/>
              <w:widowControl w:val="0"/>
              <w:kinsoku/>
              <w:wordWrap/>
              <w:overflowPunct/>
              <w:topLinePunct w:val="0"/>
              <w:autoSpaceDE/>
              <w:autoSpaceDN/>
              <w:bidi w:val="0"/>
              <w:spacing w:line="480" w:lineRule="exact"/>
              <w:ind w:firstLine="480" w:firstLineChars="200"/>
              <w:jc w:val="left"/>
              <w:rPr>
                <w:rStyle w:val="91"/>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因此建设单位拟在泵站附近建临时的生活污水应急处理站，处理多余生活污水。</w:t>
            </w:r>
            <w:r>
              <w:rPr>
                <w:rStyle w:val="91"/>
                <w:rFonts w:hint="default" w:ascii="Times New Roman" w:hAnsi="Times New Roman" w:eastAsia="宋体" w:cs="Times New Roman"/>
                <w:color w:val="auto"/>
                <w:sz w:val="24"/>
                <w:szCs w:val="24"/>
              </w:rPr>
              <w:t>繁峙县现有污水处理厂规模为1.5万m</w:t>
            </w:r>
            <w:r>
              <w:rPr>
                <w:rStyle w:val="91"/>
                <w:rFonts w:hint="default" w:ascii="Times New Roman" w:hAnsi="Times New Roman" w:eastAsia="宋体" w:cs="Times New Roman"/>
                <w:color w:val="auto"/>
                <w:sz w:val="24"/>
                <w:szCs w:val="24"/>
                <w:vertAlign w:val="superscript"/>
              </w:rPr>
              <w:t>3</w:t>
            </w:r>
            <w:r>
              <w:rPr>
                <w:rStyle w:val="91"/>
                <w:rFonts w:hint="default" w:ascii="Times New Roman" w:hAnsi="Times New Roman" w:eastAsia="宋体" w:cs="Times New Roman"/>
                <w:color w:val="auto"/>
                <w:sz w:val="24"/>
                <w:szCs w:val="24"/>
              </w:rPr>
              <w:t>/d。根据</w:t>
            </w:r>
            <w:r>
              <w:rPr>
                <w:rStyle w:val="91"/>
                <w:rFonts w:hint="default" w:ascii="Times New Roman" w:hAnsi="Times New Roman" w:eastAsia="宋体" w:cs="Times New Roman"/>
                <w:color w:val="auto"/>
                <w:sz w:val="24"/>
                <w:szCs w:val="24"/>
                <w:lang w:eastAsia="zh-CN"/>
              </w:rPr>
              <w:t>目前</w:t>
            </w:r>
            <w:r>
              <w:rPr>
                <w:rStyle w:val="91"/>
                <w:rFonts w:hint="default" w:ascii="Times New Roman" w:hAnsi="Times New Roman" w:eastAsia="宋体" w:cs="Times New Roman"/>
                <w:color w:val="auto"/>
                <w:sz w:val="24"/>
                <w:szCs w:val="24"/>
              </w:rPr>
              <w:t>人口数量及</w:t>
            </w:r>
            <w:r>
              <w:rPr>
                <w:rStyle w:val="91"/>
                <w:rFonts w:hint="default" w:ascii="Times New Roman" w:hAnsi="Times New Roman" w:eastAsia="宋体" w:cs="Times New Roman"/>
                <w:color w:val="auto"/>
                <w:sz w:val="24"/>
                <w:szCs w:val="24"/>
                <w:lang w:eastAsia="zh-CN"/>
              </w:rPr>
              <w:t>其</w:t>
            </w:r>
            <w:r>
              <w:rPr>
                <w:rStyle w:val="91"/>
                <w:rFonts w:hint="default" w:ascii="Times New Roman" w:hAnsi="Times New Roman" w:eastAsia="宋体" w:cs="Times New Roman"/>
                <w:color w:val="auto"/>
                <w:sz w:val="24"/>
                <w:szCs w:val="24"/>
              </w:rPr>
              <w:t>增长趋势，确定</w:t>
            </w:r>
            <w:r>
              <w:rPr>
                <w:rStyle w:val="91"/>
                <w:rFonts w:hint="default" w:ascii="Times New Roman" w:hAnsi="Times New Roman" w:eastAsia="宋体" w:cs="Times New Roman"/>
                <w:color w:val="auto"/>
                <w:sz w:val="24"/>
                <w:szCs w:val="24"/>
                <w:lang w:eastAsia="zh-CN"/>
              </w:rPr>
              <w:t>拟</w:t>
            </w:r>
            <w:r>
              <w:rPr>
                <w:rStyle w:val="91"/>
                <w:rFonts w:hint="default" w:ascii="Times New Roman" w:hAnsi="Times New Roman" w:eastAsia="宋体" w:cs="Times New Roman"/>
                <w:color w:val="auto"/>
                <w:sz w:val="24"/>
                <w:szCs w:val="24"/>
              </w:rPr>
              <w:t>建设</w:t>
            </w:r>
            <w:r>
              <w:rPr>
                <w:rFonts w:hint="default" w:ascii="Times New Roman" w:hAnsi="Times New Roman" w:eastAsia="宋体" w:cs="Times New Roman"/>
                <w:color w:val="auto"/>
                <w:sz w:val="24"/>
              </w:rPr>
              <w:t>生活污水应急处理站</w:t>
            </w:r>
            <w:r>
              <w:rPr>
                <w:rStyle w:val="91"/>
                <w:rFonts w:hint="default" w:ascii="Times New Roman" w:hAnsi="Times New Roman" w:eastAsia="宋体" w:cs="Times New Roman"/>
                <w:color w:val="auto"/>
                <w:sz w:val="24"/>
                <w:szCs w:val="24"/>
              </w:rPr>
              <w:t>设计总规模为3000m</w:t>
            </w:r>
            <w:r>
              <w:rPr>
                <w:rStyle w:val="91"/>
                <w:rFonts w:hint="default" w:ascii="Times New Roman" w:hAnsi="Times New Roman" w:eastAsia="宋体" w:cs="Times New Roman"/>
                <w:color w:val="auto"/>
                <w:sz w:val="24"/>
                <w:szCs w:val="24"/>
                <w:vertAlign w:val="superscript"/>
              </w:rPr>
              <w:t>3</w:t>
            </w:r>
            <w:r>
              <w:rPr>
                <w:rStyle w:val="91"/>
                <w:rFonts w:hint="default" w:ascii="Times New Roman" w:hAnsi="Times New Roman" w:eastAsia="宋体" w:cs="Times New Roman"/>
                <w:color w:val="auto"/>
                <w:sz w:val="24"/>
                <w:szCs w:val="24"/>
              </w:rPr>
              <w:t>/d。若以后人口增长，</w:t>
            </w:r>
            <w:r>
              <w:rPr>
                <w:rFonts w:hint="default" w:ascii="Times New Roman" w:hAnsi="Times New Roman" w:eastAsia="宋体" w:cs="Times New Roman"/>
                <w:color w:val="auto"/>
                <w:sz w:val="24"/>
              </w:rPr>
              <w:t>生活污水应急处理站</w:t>
            </w:r>
            <w:r>
              <w:rPr>
                <w:rStyle w:val="91"/>
                <w:rFonts w:hint="default" w:ascii="Times New Roman" w:hAnsi="Times New Roman" w:eastAsia="宋体" w:cs="Times New Roman"/>
                <w:color w:val="auto"/>
                <w:sz w:val="24"/>
                <w:szCs w:val="24"/>
              </w:rPr>
              <w:t>超负荷后，再在</w:t>
            </w:r>
            <w:r>
              <w:rPr>
                <w:rStyle w:val="91"/>
                <w:rFonts w:hint="default" w:ascii="Times New Roman" w:hAnsi="Times New Roman" w:eastAsia="宋体" w:cs="Times New Roman"/>
                <w:color w:val="auto"/>
                <w:sz w:val="24"/>
                <w:szCs w:val="24"/>
                <w:lang w:eastAsia="zh-CN"/>
              </w:rPr>
              <w:t>此</w:t>
            </w:r>
            <w:r>
              <w:rPr>
                <w:rStyle w:val="91"/>
                <w:rFonts w:hint="default" w:ascii="Times New Roman" w:hAnsi="Times New Roman" w:eastAsia="宋体" w:cs="Times New Roman"/>
                <w:color w:val="auto"/>
                <w:sz w:val="24"/>
                <w:szCs w:val="24"/>
              </w:rPr>
              <w:t>基础上进行扩建，由于附近空余面积很大，扩建非常容易。</w:t>
            </w:r>
            <w:r>
              <w:rPr>
                <w:rStyle w:val="91"/>
                <w:rFonts w:hint="default" w:ascii="Times New Roman" w:hAnsi="Times New Roman" w:eastAsia="宋体" w:cs="Times New Roman"/>
                <w:color w:val="auto"/>
                <w:sz w:val="24"/>
                <w:szCs w:val="24"/>
                <w:lang w:eastAsia="zh-CN"/>
              </w:rPr>
              <w:t>目前项目正在建设，预计</w:t>
            </w:r>
            <w:r>
              <w:rPr>
                <w:rStyle w:val="91"/>
                <w:rFonts w:hint="default" w:ascii="Times New Roman" w:hAnsi="Times New Roman" w:eastAsia="宋体" w:cs="Times New Roman"/>
                <w:color w:val="auto"/>
                <w:sz w:val="24"/>
                <w:szCs w:val="24"/>
                <w:lang w:val="en-US" w:eastAsia="zh-CN"/>
              </w:rPr>
              <w:t>202</w:t>
            </w:r>
            <w:r>
              <w:rPr>
                <w:rStyle w:val="91"/>
                <w:rFonts w:hint="eastAsia" w:cs="Times New Roman"/>
                <w:color w:val="auto"/>
                <w:sz w:val="24"/>
                <w:szCs w:val="24"/>
                <w:lang w:val="en-US" w:eastAsia="zh-CN"/>
              </w:rPr>
              <w:t>1</w:t>
            </w:r>
            <w:r>
              <w:rPr>
                <w:rStyle w:val="91"/>
                <w:rFonts w:hint="default" w:ascii="Times New Roman" w:hAnsi="Times New Roman" w:eastAsia="宋体" w:cs="Times New Roman"/>
                <w:color w:val="auto"/>
                <w:sz w:val="24"/>
                <w:szCs w:val="24"/>
                <w:lang w:val="en-US" w:eastAsia="zh-CN"/>
              </w:rPr>
              <w:t>年1月起投入运行。</w:t>
            </w:r>
          </w:p>
          <w:p>
            <w:pPr>
              <w:keepNext w:val="0"/>
              <w:keepLines w:val="0"/>
              <w:pageBreakBefore w:val="0"/>
              <w:widowControl w:val="0"/>
              <w:kinsoku/>
              <w:wordWrap/>
              <w:overflowPunct/>
              <w:topLinePunct w:val="0"/>
              <w:autoSpaceDE/>
              <w:autoSpaceDN/>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1.1.2评价任务由来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根据《中华人民共和国环境保护法》、《中华人民共和国环境影响评价法》和《建设项目环境保护管理条例》等环保法律法规的规定，该项目需进行环境影响评价。依照《建设项目环境影响评价分类管理名录》（2017年6月29日环境保护部令第44号公布，2018年4月28日生态环境部令 第1号 公布修改单），本项目属于</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三十三、水的生产和供应</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第96项</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生活污水集中处理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其他</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类，本项目需编制环境影响报告表，为此，</w:t>
            </w:r>
            <w:r>
              <w:rPr>
                <w:rFonts w:hint="default" w:ascii="Times New Roman" w:hAnsi="Times New Roman" w:eastAsia="宋体" w:cs="Times New Roman"/>
                <w:color w:val="auto"/>
                <w:sz w:val="24"/>
                <w:szCs w:val="24"/>
              </w:rPr>
              <w:t>繁峙县市政工程服务中心于2020年7月正式委托我公司进行该项目的环境影响评价工作（委托书见附件）。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接受委托后，</w:t>
            </w:r>
            <w:r>
              <w:rPr>
                <w:rFonts w:hint="default" w:ascii="Times New Roman" w:hAnsi="Times New Roman" w:eastAsia="宋体" w:cs="Times New Roman"/>
                <w:bCs/>
                <w:color w:val="auto"/>
                <w:sz w:val="24"/>
              </w:rPr>
              <w:t>我公司立即组织环评项目组技术人员对厂址及周围环境进行现场踏勘</w:t>
            </w:r>
            <w:r>
              <w:rPr>
                <w:rFonts w:hint="default" w:ascii="Times New Roman" w:hAnsi="Times New Roman" w:eastAsia="宋体" w:cs="Times New Roman"/>
                <w:color w:val="auto"/>
                <w:sz w:val="24"/>
              </w:rPr>
              <w:t>，调查了解所在地区的自然环境和生态环境状况，收集了当地的水文、地质、气象、城市建设及生态规划等资料；详细了解了工程生产工艺、主要生产设施、排污环节、污染防治措施和公用工程情况。在此基础上遵循有关环评规定，根据国家、省、市各级环保部门的有关规定，并根据有关技术规范，编制完成了《山西省繁峙县3000m³生活污水应急处理站项目环境影响报告表》（报审稿），由建设单位呈送主管部门审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w w:val="100"/>
                <w:position w:val="0"/>
                <w:sz w:val="24"/>
                <w:szCs w:val="24"/>
                <w:lang w:val="zh-CN" w:eastAsia="zh-CN" w:bidi="zh-CN"/>
              </w:rPr>
              <w:t>忻州市生态环境局繁峙分局于</w:t>
            </w:r>
            <w:r>
              <w:rPr>
                <w:rFonts w:hint="default" w:ascii="Times New Roman" w:hAnsi="Times New Roman" w:eastAsia="宋体" w:cs="Times New Roman"/>
                <w:color w:val="auto"/>
                <w:w w:val="100"/>
                <w:position w:val="0"/>
                <w:sz w:val="24"/>
                <w:szCs w:val="24"/>
                <w:lang w:val="en-US" w:eastAsia="zh-CN" w:bidi="zh-CN"/>
              </w:rPr>
              <w:t>2020</w:t>
            </w:r>
            <w:r>
              <w:rPr>
                <w:rFonts w:hint="default" w:ascii="Times New Roman" w:hAnsi="Times New Roman" w:eastAsia="宋体" w:cs="Times New Roman"/>
                <w:color w:val="auto"/>
                <w:w w:val="100"/>
                <w:position w:val="0"/>
                <w:sz w:val="24"/>
                <w:szCs w:val="24"/>
                <w:lang w:val="zh-CN" w:eastAsia="zh-CN" w:bidi="zh-CN"/>
              </w:rPr>
              <w:t>年</w:t>
            </w:r>
            <w:r>
              <w:rPr>
                <w:rFonts w:hint="default" w:ascii="Times New Roman" w:hAnsi="Times New Roman" w:eastAsia="宋体" w:cs="Times New Roman"/>
                <w:color w:val="auto"/>
                <w:w w:val="100"/>
                <w:position w:val="0"/>
                <w:sz w:val="24"/>
                <w:szCs w:val="24"/>
                <w:lang w:val="en-US" w:eastAsia="zh-CN" w:bidi="zh-CN"/>
              </w:rPr>
              <w:t>11</w:t>
            </w:r>
            <w:r>
              <w:rPr>
                <w:rFonts w:hint="default" w:ascii="Times New Roman" w:hAnsi="Times New Roman" w:eastAsia="宋体" w:cs="Times New Roman"/>
                <w:color w:val="auto"/>
                <w:w w:val="100"/>
                <w:position w:val="0"/>
                <w:sz w:val="24"/>
                <w:szCs w:val="24"/>
                <w:lang w:val="zh-CN" w:eastAsia="zh-CN" w:bidi="zh-CN"/>
              </w:rPr>
              <w:t>月</w:t>
            </w:r>
            <w:r>
              <w:rPr>
                <w:rFonts w:hint="default" w:ascii="Times New Roman" w:hAnsi="Times New Roman" w:eastAsia="宋体" w:cs="Times New Roman"/>
                <w:color w:val="auto"/>
                <w:w w:val="100"/>
                <w:position w:val="0"/>
                <w:sz w:val="24"/>
                <w:szCs w:val="24"/>
                <w:lang w:val="en-US" w:eastAsia="zh-CN" w:bidi="zh-CN"/>
              </w:rPr>
              <w:t>20日</w:t>
            </w:r>
            <w:r>
              <w:rPr>
                <w:rFonts w:hint="default" w:ascii="Times New Roman" w:hAnsi="Times New Roman" w:eastAsia="宋体" w:cs="Times New Roman"/>
                <w:color w:val="auto"/>
                <w:w w:val="100"/>
                <w:position w:val="0"/>
                <w:sz w:val="24"/>
                <w:szCs w:val="24"/>
                <w:lang w:val="zh-CN" w:eastAsia="zh-CN" w:bidi="zh-CN"/>
              </w:rPr>
              <w:t>在繁峙县主持召开了《</w:t>
            </w:r>
            <w:r>
              <w:rPr>
                <w:rFonts w:hint="default" w:ascii="Times New Roman" w:hAnsi="Times New Roman" w:eastAsia="宋体" w:cs="Times New Roman"/>
                <w:color w:val="auto"/>
                <w:sz w:val="24"/>
              </w:rPr>
              <w:t>山西省繁峙县3000m³生活污水应急处理站项目</w:t>
            </w:r>
            <w:r>
              <w:rPr>
                <w:rFonts w:hint="default" w:ascii="Times New Roman" w:hAnsi="Times New Roman" w:eastAsia="宋体" w:cs="Times New Roman"/>
                <w:color w:val="auto"/>
                <w:w w:val="100"/>
                <w:position w:val="0"/>
                <w:sz w:val="24"/>
                <w:szCs w:val="24"/>
                <w:lang w:val="zh-CN" w:eastAsia="zh-CN" w:bidi="zh-CN"/>
              </w:rPr>
              <w:t>》技术审查会。</w:t>
            </w:r>
            <w:r>
              <w:rPr>
                <w:rFonts w:hint="default" w:ascii="Times New Roman" w:hAnsi="Times New Roman" w:eastAsia="宋体" w:cs="Times New Roman"/>
                <w:color w:val="auto"/>
                <w:w w:val="100"/>
                <w:position w:val="0"/>
                <w:sz w:val="24"/>
                <w:szCs w:val="24"/>
                <w:lang w:val="en-US" w:eastAsia="zh-CN" w:bidi="zh-CN"/>
              </w:rPr>
              <w:t>我公司根据技术审查意见对报告进行了修改和完善，完成了</w:t>
            </w:r>
            <w:r>
              <w:rPr>
                <w:rFonts w:hint="default" w:ascii="Times New Roman" w:hAnsi="Times New Roman" w:eastAsia="宋体" w:cs="Times New Roman"/>
                <w:color w:val="auto"/>
                <w:w w:val="100"/>
                <w:position w:val="0"/>
                <w:sz w:val="24"/>
                <w:szCs w:val="24"/>
                <w:lang w:val="zh-CN" w:eastAsia="zh-CN" w:bidi="zh-CN"/>
              </w:rPr>
              <w:t>《</w:t>
            </w:r>
            <w:r>
              <w:rPr>
                <w:rFonts w:hint="default" w:ascii="Times New Roman" w:hAnsi="Times New Roman" w:eastAsia="宋体" w:cs="Times New Roman"/>
                <w:color w:val="auto"/>
                <w:sz w:val="24"/>
              </w:rPr>
              <w:t>山西省繁峙县3000m³生活污水应急处理站项目</w:t>
            </w:r>
            <w:r>
              <w:rPr>
                <w:rFonts w:hint="default" w:ascii="Times New Roman" w:hAnsi="Times New Roman" w:eastAsia="宋体" w:cs="Times New Roman"/>
                <w:color w:val="auto"/>
                <w:w w:val="100"/>
                <w:position w:val="0"/>
                <w:sz w:val="24"/>
                <w:szCs w:val="24"/>
                <w:lang w:val="zh-CN" w:eastAsia="zh-CN" w:bidi="zh-CN"/>
              </w:rPr>
              <w:t>》（报批本），</w:t>
            </w:r>
            <w:r>
              <w:rPr>
                <w:rFonts w:hint="default" w:ascii="Times New Roman" w:hAnsi="Times New Roman" w:eastAsia="宋体" w:cs="Times New Roman"/>
                <w:color w:val="auto"/>
                <w:kern w:val="2"/>
                <w:sz w:val="24"/>
                <w:szCs w:val="24"/>
                <w:lang w:val="en-US" w:eastAsia="zh-CN" w:bidi="ar-SA"/>
              </w:rPr>
              <w:t>并由建设单位报请主管部门进行审批</w:t>
            </w:r>
            <w:r>
              <w:rPr>
                <w:rFonts w:hint="default" w:ascii="Times New Roman" w:hAnsi="Times New Roman" w:eastAsia="宋体" w:cs="Times New Roman"/>
                <w:color w:val="auto"/>
                <w:w w:val="100"/>
                <w:position w:val="0"/>
                <w:sz w:val="24"/>
                <w:szCs w:val="24"/>
                <w:lang w:val="zh-CN" w:eastAsia="zh-CN" w:bidi="zh-CN"/>
              </w:rPr>
              <w:t>。</w:t>
            </w:r>
          </w:p>
          <w:p>
            <w:pPr>
              <w:keepNext w:val="0"/>
              <w:keepLines w:val="0"/>
              <w:pageBreakBefore w:val="0"/>
              <w:widowControl w:val="0"/>
              <w:kinsoku/>
              <w:wordWrap/>
              <w:overflowPunct/>
              <w:topLinePunct w:val="0"/>
              <w:autoSpaceDE/>
              <w:autoSpaceDN/>
              <w:bidi w:val="0"/>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1.2分析判定相关情况</w:t>
            </w:r>
          </w:p>
          <w:p>
            <w:pPr>
              <w:keepNext w:val="0"/>
              <w:keepLines w:val="0"/>
              <w:pageBreakBefore w:val="0"/>
              <w:widowControl w:val="0"/>
              <w:kinsoku/>
              <w:wordWrap/>
              <w:overflowPunct/>
              <w:topLinePunct w:val="0"/>
              <w:autoSpaceDE/>
              <w:autoSpaceDN/>
              <w:bidi w:val="0"/>
              <w:spacing w:line="480" w:lineRule="exact"/>
              <w:jc w:val="left"/>
              <w:textAlignment w:val="baseline"/>
              <w:rPr>
                <w:rFonts w:hint="default" w:ascii="Times New Roman" w:hAnsi="Times New Roman" w:eastAsia="宋体" w:cs="Times New Roman"/>
                <w:b/>
                <w:bCs/>
                <w:color w:val="auto"/>
                <w:spacing w:val="4"/>
                <w:sz w:val="24"/>
              </w:rPr>
            </w:pPr>
            <w:r>
              <w:rPr>
                <w:rFonts w:hint="default" w:ascii="Times New Roman" w:hAnsi="Times New Roman" w:eastAsia="宋体" w:cs="Times New Roman"/>
                <w:b/>
                <w:bCs/>
                <w:color w:val="auto"/>
                <w:spacing w:val="4"/>
                <w:sz w:val="24"/>
              </w:rPr>
              <w:t>1.2.1产业政策符合性分析</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根据《产业结构调整指导目录》（2019本），本项目属于鼓励类</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四十三、环境保护与资源节约综合利用</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中的</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15</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eastAsia="zh-CN"/>
              </w:rPr>
              <w:t>“三废”</w:t>
            </w:r>
            <w:r>
              <w:rPr>
                <w:rFonts w:hint="default" w:ascii="Times New Roman" w:hAnsi="Times New Roman" w:eastAsia="宋体" w:cs="Times New Roman"/>
                <w:bCs/>
                <w:color w:val="auto"/>
                <w:sz w:val="24"/>
                <w:lang w:val="en-US" w:eastAsia="zh-CN"/>
              </w:rPr>
              <w:t>综合利用与治理技术、装备和工程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，因此该项目符合国家和山西省产业政策要求。</w:t>
            </w:r>
          </w:p>
          <w:p>
            <w:pPr>
              <w:keepNext w:val="0"/>
              <w:keepLines w:val="0"/>
              <w:pageBreakBefore w:val="0"/>
              <w:widowControl w:val="0"/>
              <w:kinsoku/>
              <w:wordWrap/>
              <w:overflowPunct/>
              <w:topLinePunct w:val="0"/>
              <w:autoSpaceDE/>
              <w:autoSpaceDN/>
              <w:bidi w:val="0"/>
              <w:spacing w:line="480" w:lineRule="exact"/>
              <w:jc w:val="left"/>
              <w:textAlignment w:val="baseline"/>
              <w:rPr>
                <w:rFonts w:hint="default" w:ascii="Times New Roman" w:hAnsi="Times New Roman" w:eastAsia="宋体" w:cs="Times New Roman"/>
                <w:b/>
                <w:bCs/>
                <w:color w:val="auto"/>
                <w:spacing w:val="4"/>
                <w:sz w:val="24"/>
              </w:rPr>
            </w:pPr>
            <w:r>
              <w:rPr>
                <w:rFonts w:hint="default" w:ascii="Times New Roman" w:hAnsi="Times New Roman" w:eastAsia="宋体" w:cs="Times New Roman"/>
                <w:b/>
                <w:bCs/>
                <w:color w:val="auto"/>
                <w:spacing w:val="4"/>
                <w:sz w:val="24"/>
              </w:rPr>
              <w:t>1.2.2选址及相关规划</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本项目位于繁峙县滨河北大道和双拥路交叉口西北角，</w:t>
            </w:r>
            <w:r>
              <w:rPr>
                <w:rFonts w:hint="default" w:ascii="Times New Roman" w:hAnsi="Times New Roman" w:eastAsia="宋体" w:cs="Times New Roman"/>
                <w:color w:val="auto"/>
                <w:sz w:val="24"/>
              </w:rPr>
              <w:t>厂址距离繁峙县县城直线距离约470m，在《</w:t>
            </w:r>
            <w:r>
              <w:rPr>
                <w:rFonts w:hint="default" w:ascii="Times New Roman" w:hAnsi="Times New Roman" w:eastAsia="宋体" w:cs="Times New Roman"/>
                <w:bCs/>
                <w:color w:val="auto"/>
                <w:sz w:val="24"/>
              </w:rPr>
              <w:t>繁峙县</w:t>
            </w:r>
            <w:r>
              <w:rPr>
                <w:rFonts w:hint="default" w:ascii="Times New Roman" w:hAnsi="Times New Roman" w:eastAsia="宋体" w:cs="Times New Roman"/>
                <w:color w:val="auto"/>
                <w:sz w:val="24"/>
              </w:rPr>
              <w:t>县城总体规划》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2012-2030</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的范围内，</w:t>
            </w:r>
            <w:r>
              <w:rPr>
                <w:rFonts w:hint="default" w:ascii="Times New Roman" w:hAnsi="Times New Roman" w:eastAsia="宋体" w:cs="Times New Roman"/>
                <w:color w:val="auto"/>
                <w:sz w:val="24"/>
                <w:lang w:eastAsia="zh-CN"/>
              </w:rPr>
              <w:t>规划用地性质为其他公共设施用地，本项目为生活污水应急处理站项目，符合</w:t>
            </w:r>
            <w:r>
              <w:rPr>
                <w:rFonts w:hint="default" w:ascii="Times New Roman" w:hAnsi="Times New Roman" w:eastAsia="宋体" w:cs="Times New Roman"/>
                <w:bCs/>
                <w:color w:val="auto"/>
                <w:sz w:val="24"/>
              </w:rPr>
              <w:t>繁峙县</w:t>
            </w:r>
            <w:r>
              <w:rPr>
                <w:rFonts w:hint="default" w:ascii="Times New Roman" w:hAnsi="Times New Roman" w:eastAsia="宋体" w:cs="Times New Roman"/>
                <w:color w:val="auto"/>
                <w:sz w:val="24"/>
              </w:rPr>
              <w:t>县城总体规划</w:t>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距离项目最近的供水水源为杏园镇集中供水水源地，位于项目东南侧</w:t>
            </w:r>
            <w:r>
              <w:rPr>
                <w:rFonts w:hint="default" w:ascii="Times New Roman" w:hAnsi="Times New Roman" w:eastAsia="宋体" w:cs="Times New Roman"/>
                <w:color w:val="auto"/>
                <w:sz w:val="24"/>
              </w:rPr>
              <w:t>3.06</w:t>
            </w:r>
            <w:r>
              <w:rPr>
                <w:rFonts w:hint="default" w:ascii="Times New Roman" w:hAnsi="Times New Roman" w:eastAsia="宋体" w:cs="Times New Roman"/>
                <w:bCs/>
                <w:color w:val="auto"/>
                <w:sz w:val="24"/>
              </w:rPr>
              <w:t>km处，项目距离该水源地较远，不会对其产生明显影响。因此，项目选址基本合理。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2020年6月12日，繁峙县住房和城乡建设管理局以繁建函【2020】74号文出具了“关于山西省繁峙县3000m³生活污水应急处理站项目位置的意见”，原则上同意此项目位置选址，同意办理前期相关手续（见附件）。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2020年6月24日，繁峙县自然资源局以繁自然资函【2020】110号文出具了“关于山西省繁峙县3000m³生活污水应急处理站项目的用地意见”，表明该拟选址位置已列入繁峙县国土空间规划城镇开发边界范围内，需办理建设用地报批手续，目前企业正在办理建设用地手续（见附件）。</w:t>
            </w:r>
          </w:p>
          <w:p>
            <w:pPr>
              <w:keepNext w:val="0"/>
              <w:keepLines w:val="0"/>
              <w:pageBreakBefore w:val="0"/>
              <w:widowControl w:val="0"/>
              <w:kinsoku/>
              <w:wordWrap/>
              <w:overflowPunct/>
              <w:topLinePunct w:val="0"/>
              <w:autoSpaceDE/>
              <w:autoSpaceDN/>
              <w:bidi w:val="0"/>
              <w:adjustRightInd/>
              <w:snapToGrid/>
              <w:spacing w:line="480" w:lineRule="exact"/>
              <w:jc w:val="left"/>
              <w:textAlignment w:val="baseline"/>
              <w:rPr>
                <w:rFonts w:hint="default" w:ascii="Times New Roman" w:hAnsi="Times New Roman" w:eastAsia="宋体" w:cs="Times New Roman"/>
                <w:b/>
                <w:bCs/>
                <w:color w:val="auto"/>
                <w:spacing w:val="4"/>
                <w:sz w:val="24"/>
                <w:lang w:val="en-US" w:eastAsia="zh-CN"/>
              </w:rPr>
            </w:pPr>
            <w:r>
              <w:rPr>
                <w:rFonts w:hint="default" w:ascii="Times New Roman" w:hAnsi="Times New Roman" w:eastAsia="宋体" w:cs="Times New Roman"/>
                <w:b/>
                <w:bCs/>
                <w:color w:val="auto"/>
                <w:spacing w:val="4"/>
                <w:sz w:val="24"/>
                <w:lang w:val="en-US" w:eastAsia="zh-CN"/>
              </w:rPr>
              <w:t>1.2.3与《忻州市滹沱河流域生态修复与保护条例》的符合性分析</w:t>
            </w:r>
          </w:p>
          <w:p>
            <w:pPr>
              <w:keepNext w:val="0"/>
              <w:keepLines w:val="0"/>
              <w:pageBreakBefore w:val="0"/>
              <w:widowControl w:val="0"/>
              <w:kinsoku/>
              <w:wordWrap/>
              <w:overflowPunct/>
              <w:topLinePunct w:val="0"/>
              <w:autoSpaceDE/>
              <w:autoSpaceDN/>
              <w:bidi w:val="0"/>
              <w:adjustRightInd/>
              <w:snapToGrid/>
              <w:spacing w:before="79" w:beforeLines="25" w:after="60" w:afterLines="25"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rPr>
              <w:t>表1-1  项目相符性分析情况表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9"/>
              <w:gridCol w:w="4371"/>
              <w:gridCol w:w="3627"/>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忻州市滹沱河流域生态修复与保护条</w:t>
                  </w:r>
                  <w:r>
                    <w:rPr>
                      <w:rFonts w:hint="default" w:ascii="Times New Roman" w:hAnsi="Times New Roman" w:eastAsia="宋体" w:cs="Times New Roman"/>
                      <w:color w:val="auto"/>
                      <w:sz w:val="21"/>
                      <w:szCs w:val="21"/>
                      <w:lang w:eastAsia="zh-CN"/>
                    </w:rPr>
                    <w:t>例</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70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生态修复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加强滹沱河干流和支流源头、河道、岩溶泉域重点保护区的自然修复和保护。禁止在流域内建设妨碍生态修复与保护的建筑物、构筑物以及从事其他妨碍流域生态修复与保护的活动。</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为生活污水应急处理站项目，对滹沱河水质有改善效果</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任何单位和个人不得擅自变更水源涵养林地和天然草甸用途。不得违法占用、征用、征收流域内的公益林地和天然草甸。</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本项目占地性质为耕地（不含基本农田），项目所在区域内无公益林地及天然草甸，根据</w:t>
                  </w:r>
                  <w:r>
                    <w:rPr>
                      <w:rFonts w:hint="default" w:ascii="Times New Roman" w:hAnsi="Times New Roman" w:eastAsia="宋体" w:cs="Times New Roman"/>
                      <w:color w:val="auto"/>
                      <w:sz w:val="21"/>
                      <w:szCs w:val="21"/>
                      <w:lang w:val="en-US" w:eastAsia="zh-CN"/>
                    </w:rPr>
                    <w:t>繁自然资函【2020】110号文，表明该拟选址位置已列入繁峙县国土空间规划城镇开发边界范围内，企业正在办理建设用地手续</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流域内的建设项目选址应当避让生态保护区、河流源头和岩溶泉域重点保护区，无法避让的，应当采取保护措施，提高防治标准，防止造成生态破坏。</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本项目选址范围内无生态保护目标、</w:t>
                  </w:r>
                  <w:r>
                    <w:rPr>
                      <w:rFonts w:hint="default" w:ascii="Times New Roman" w:hAnsi="Times New Roman" w:eastAsia="宋体" w:cs="Times New Roman"/>
                      <w:color w:val="auto"/>
                      <w:sz w:val="21"/>
                      <w:szCs w:val="21"/>
                    </w:rPr>
                    <w:t>河流源头和岩溶泉域重点保护区</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严格限制地下水开采，未经有关部门批准，任何单位和个人不得凿井取水。</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本项目为生活污水应急处理站项目，不涉及地下水开采</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禁止围垦河道。本条例实施前已经围垦的，县（市、区）人民政府应当采取措施，退地还河。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禁止在河源、河道保护范围内堆放、倾倒砂、石、土、矸石、尾矿、废渣等废弃物。</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本项目固体废物均可得到合理处置，不会对河道造成不良影响</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任何单位和个人不得在滹沱河流域饮用水水源保护区建设与水环境保护无关的项目，不得从事影响饮用水水源水质的活动。</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本项目不在饮用水水源保护区范围内，距离最近的水源地为杏园镇集中供水水源地，距离约为</w:t>
                  </w:r>
                  <w:r>
                    <w:rPr>
                      <w:rFonts w:hint="default" w:ascii="Times New Roman" w:hAnsi="Times New Roman" w:eastAsia="宋体" w:cs="Times New Roman"/>
                      <w:color w:val="auto"/>
                      <w:sz w:val="21"/>
                      <w:szCs w:val="21"/>
                      <w:lang w:val="en-US" w:eastAsia="zh-CN"/>
                    </w:rPr>
                    <w:t>3.06km</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43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新建集中处理污水设施，应当符合脱氮除磷达标排放要求；现有的集中处理设施不符合脱氮除磷要求的，县（市、区）人民政府应当自本条例实施之日起一年内完成技术改造。</w:t>
                  </w:r>
                </w:p>
              </w:tc>
              <w:tc>
                <w:tcPr>
                  <w:tcW w:w="3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为生活污水应急处理站项目，CODcr、TP、NH</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-N执行</w:t>
                  </w:r>
                  <w:r>
                    <w:rPr>
                      <w:rFonts w:hint="default" w:ascii="Times New Roman" w:hAnsi="Times New Roman" w:eastAsia="宋体" w:cs="Times New Roman"/>
                      <w:color w:val="auto"/>
                      <w:sz w:val="21"/>
                      <w:szCs w:val="21"/>
                      <w:lang w:val="en-US" w:eastAsia="zh-CN"/>
                    </w:rPr>
                    <w:t>《山西省地方标准污水综合排放标准》（DB14/1928-2019）中表2</w:t>
                  </w:r>
                  <w:r>
                    <w:rPr>
                      <w:rFonts w:hint="default" w:ascii="Times New Roman" w:hAnsi="Times New Roman" w:eastAsia="宋体" w:cs="Times New Roman"/>
                      <w:color w:val="auto"/>
                      <w:sz w:val="21"/>
                      <w:szCs w:val="21"/>
                      <w:lang w:eastAsia="zh-CN"/>
                    </w:rPr>
                    <w:t>标准，其余指标执行《城镇污水处理站污染物排放标准》（GB18918-2002）一级A标，可以达标排放</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kinsoku/>
              <w:wordWrap/>
              <w:overflowPunct/>
              <w:topLinePunct w:val="0"/>
              <w:autoSpaceDE/>
              <w:autoSpaceDN/>
              <w:bidi w:val="0"/>
              <w:snapToGrid w:val="0"/>
              <w:spacing w:line="480" w:lineRule="exact"/>
              <w:ind w:firstLine="480" w:firstLineChars="200"/>
              <w:jc w:val="left"/>
              <w:rPr>
                <w:rFonts w:hint="default" w:ascii="Times New Roman" w:hAnsi="Times New Roman" w:eastAsia="宋体" w:cs="Times New Roman"/>
                <w:b/>
                <w:bCs/>
                <w:color w:val="auto"/>
                <w:spacing w:val="4"/>
                <w:sz w:val="24"/>
                <w:szCs w:val="24"/>
                <w:lang w:val="en-US" w:eastAsia="zh-CN"/>
              </w:rPr>
            </w:pPr>
            <w:r>
              <w:rPr>
                <w:rFonts w:hint="default" w:ascii="Times New Roman" w:hAnsi="Times New Roman" w:eastAsia="宋体" w:cs="Times New Roman"/>
                <w:color w:val="auto"/>
                <w:sz w:val="24"/>
                <w:szCs w:val="24"/>
              </w:rPr>
              <w:t>综上，项目符合</w:t>
            </w:r>
            <w:r>
              <w:rPr>
                <w:rFonts w:hint="default" w:ascii="Times New Roman" w:hAnsi="Times New Roman" w:eastAsia="宋体" w:cs="Times New Roman"/>
                <w:color w:val="auto"/>
                <w:sz w:val="24"/>
                <w:szCs w:val="24"/>
                <w:lang w:val="en-US" w:eastAsia="zh-CN"/>
              </w:rPr>
              <w:t>《忻州市滹沱河流域生态修复与保护条例》</w:t>
            </w:r>
            <w:r>
              <w:rPr>
                <w:rFonts w:hint="default" w:ascii="Times New Roman" w:hAnsi="Times New Roman" w:eastAsia="宋体" w:cs="Times New Roman"/>
                <w:color w:val="auto"/>
                <w:sz w:val="24"/>
                <w:szCs w:val="24"/>
              </w:rPr>
              <w:t>的要求。</w:t>
            </w:r>
          </w:p>
          <w:p>
            <w:pPr>
              <w:keepNext w:val="0"/>
              <w:keepLines w:val="0"/>
              <w:pageBreakBefore w:val="0"/>
              <w:widowControl w:val="0"/>
              <w:kinsoku/>
              <w:wordWrap/>
              <w:overflowPunct/>
              <w:topLinePunct w:val="0"/>
              <w:autoSpaceDE/>
              <w:autoSpaceDN/>
              <w:bidi w:val="0"/>
              <w:adjustRightInd/>
              <w:snapToGrid w:val="0"/>
              <w:spacing w:line="480" w:lineRule="exact"/>
              <w:jc w:val="left"/>
              <w:textAlignment w:val="baseline"/>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b/>
                <w:bCs/>
                <w:color w:val="auto"/>
                <w:spacing w:val="4"/>
                <w:sz w:val="24"/>
                <w:szCs w:val="24"/>
                <w:lang w:val="en-US" w:eastAsia="zh-CN"/>
              </w:rPr>
              <w:t>1.2.4与《山西省滹沱河流域生态修复与保护规划（2017—2030年）》文件的符合性分析</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jc w:val="left"/>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滹沱河流域生态修复与保护的目标是恢复滹沱河流域自然生态，谋求滹沱河流域文化旅游经济区持续健康发展，通过</w:t>
            </w:r>
            <w:r>
              <w:rPr>
                <w:rFonts w:hint="default" w:ascii="Times New Roman" w:hAnsi="Times New Roman" w:eastAsia="宋体" w:cs="Times New Roman"/>
                <w:color w:val="auto"/>
                <w:sz w:val="24"/>
                <w:szCs w:val="24"/>
                <w:lang w:val="en-US" w:eastAsia="zh-CN"/>
              </w:rPr>
              <w:t>5年建设，10年自然修复，总计15年左右的时间，构建流域“山水林田湖”协调发展的大生态格局，节水型社会大见成效，水资源满足国民经济可持续发展的需求，地下水水位大幅回升，重现滹沱河干流河流泉涌、鱼鸟翱翔的大河风光，流域内森林覆盖率大幅度提高，大部分中小河清水长流，地表水水质和水生态恢复良好状态，将滹沱河建成植被葱郁、水流清澈的“生态长廊”、适宜人类生活的“宜居长廊”和经济发展的“富民长廊”</w:t>
            </w:r>
            <w:r>
              <w:rPr>
                <w:rFonts w:hint="default" w:ascii="Times New Roman" w:hAnsi="Times New Roman" w:eastAsia="宋体" w:cs="Times New Roman"/>
                <w:color w:val="auto"/>
                <w:sz w:val="24"/>
                <w:szCs w:val="24"/>
                <w:lang w:val="zh-CN"/>
              </w:rPr>
              <w:t>。</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jc w:val="left"/>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本项目为</w:t>
            </w:r>
            <w:r>
              <w:rPr>
                <w:rFonts w:hint="default" w:ascii="Times New Roman" w:hAnsi="Times New Roman" w:eastAsia="宋体" w:cs="Times New Roman"/>
                <w:color w:val="auto"/>
                <w:sz w:val="24"/>
                <w:szCs w:val="24"/>
                <w:lang w:val="zh-CN" w:eastAsia="zh-CN"/>
              </w:rPr>
              <w:t>生活污水应急处理站项目，</w:t>
            </w:r>
            <w:r>
              <w:rPr>
                <w:rFonts w:hint="default" w:ascii="Times New Roman" w:hAnsi="Times New Roman" w:eastAsia="宋体" w:cs="Times New Roman"/>
                <w:color w:val="auto"/>
                <w:sz w:val="24"/>
                <w:szCs w:val="24"/>
                <w:lang w:val="zh-CN"/>
              </w:rPr>
              <w:t>河段属于滹沱河流域，项目建成后通过</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szCs w:val="24"/>
                <w:lang w:val="zh-CN"/>
              </w:rPr>
              <w:t>内的污水处理设备，对超出县城污水处理站处理能力的部分进行净化处置后排入滹沱河，有效改善滹沱河水体质量，进而修复受损的生态系统，促进水资源可持续利用、生态良性循环的可持续发展。项目的建设与《山西省滹沱河流域生态修复与保护规划（2017—2030年）》规划目标一致。</w:t>
            </w:r>
          </w:p>
          <w:p>
            <w:pPr>
              <w:keepNext w:val="0"/>
              <w:keepLines w:val="0"/>
              <w:pageBreakBefore w:val="0"/>
              <w:widowControl w:val="0"/>
              <w:kinsoku/>
              <w:wordWrap/>
              <w:overflowPunct/>
              <w:topLinePunct w:val="0"/>
              <w:autoSpaceDE/>
              <w:autoSpaceDN/>
              <w:bidi w:val="0"/>
              <w:adjustRightInd/>
              <w:snapToGrid w:val="0"/>
              <w:spacing w:line="480" w:lineRule="exact"/>
              <w:jc w:val="left"/>
              <w:textAlignment w:val="baseline"/>
              <w:rPr>
                <w:rFonts w:hint="default" w:ascii="Times New Roman" w:hAnsi="Times New Roman" w:eastAsia="宋体" w:cs="Times New Roman"/>
                <w:b/>
                <w:bCs/>
                <w:color w:val="auto"/>
                <w:spacing w:val="4"/>
                <w:sz w:val="24"/>
                <w:szCs w:val="24"/>
                <w:lang w:val="en-US" w:eastAsia="zh-CN"/>
              </w:rPr>
            </w:pPr>
            <w:r>
              <w:rPr>
                <w:rFonts w:hint="default" w:ascii="Times New Roman" w:hAnsi="Times New Roman" w:eastAsia="宋体" w:cs="Times New Roman"/>
                <w:b/>
                <w:bCs/>
                <w:color w:val="auto"/>
                <w:spacing w:val="4"/>
                <w:sz w:val="24"/>
                <w:szCs w:val="24"/>
                <w:lang w:val="en-US" w:eastAsia="zh-CN"/>
              </w:rPr>
              <w:t>1.2.5与《</w:t>
            </w:r>
            <w:r>
              <w:rPr>
                <w:rFonts w:hint="default" w:ascii="Times New Roman" w:hAnsi="Times New Roman" w:eastAsia="宋体" w:cs="Times New Roman"/>
                <w:b/>
                <w:bCs/>
                <w:color w:val="auto"/>
                <w:spacing w:val="4"/>
                <w:sz w:val="24"/>
                <w:szCs w:val="24"/>
                <w:lang w:val="zh-CN" w:eastAsia="zh-CN"/>
              </w:rPr>
              <w:t>山西省水污染防治条例</w:t>
            </w:r>
            <w:r>
              <w:rPr>
                <w:rFonts w:hint="default" w:ascii="Times New Roman" w:hAnsi="Times New Roman" w:eastAsia="宋体" w:cs="Times New Roman"/>
                <w:b/>
                <w:bCs/>
                <w:color w:val="auto"/>
                <w:spacing w:val="4"/>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79" w:beforeLines="25" w:after="60" w:afterLines="25" w:line="240" w:lineRule="auto"/>
              <w:jc w:val="center"/>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rPr>
              <w:t>表1-</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项目相符性分析情况表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4"/>
              <w:gridCol w:w="4096"/>
              <w:gridCol w:w="3419"/>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山西省水污染防治条例</w:t>
                  </w:r>
                </w:p>
              </w:tc>
              <w:tc>
                <w:tcPr>
                  <w:tcW w:w="3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42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标准和规划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城镇生活污水实际处理量达到设计能力百分之八十的，应当根据实际情况新建或者扩建污水处理厂。</w:t>
                  </w:r>
                </w:p>
              </w:tc>
              <w:tc>
                <w:tcPr>
                  <w:tcW w:w="3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繁峙县现有污水厂处理规模为1.5万m3/d，目前县城污水量达到该县城污水处理厂的处理能力</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42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地表水污染防治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4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汾河、桑干河、滹沱河、漳河、沁河等流域内所有县界城镇入河排污口水质应当达到地表水环境质量Ⅴ类及以上标准。</w:t>
                  </w:r>
                </w:p>
              </w:tc>
              <w:tc>
                <w:tcPr>
                  <w:tcW w:w="3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本项目经处理后排放的水质达到《山西省地方标准污水综合排放标准》（</w:t>
                  </w:r>
                  <w:r>
                    <w:rPr>
                      <w:rFonts w:hint="default" w:ascii="Times New Roman" w:hAnsi="Times New Roman" w:eastAsia="宋体" w:cs="Times New Roman"/>
                      <w:color w:val="auto"/>
                      <w:sz w:val="21"/>
                      <w:szCs w:val="21"/>
                      <w:lang w:val="en-US" w:eastAsia="zh-CN"/>
                    </w:rPr>
                    <w:t>DB14/1928-2019</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2标准</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4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城镇污水集中处理设施的运营单位应当配套建设污水水质监测设施，对城镇污水集中处理设施的出入口水质、水量进行监测。</w:t>
                  </w:r>
                </w:p>
              </w:tc>
              <w:tc>
                <w:tcPr>
                  <w:tcW w:w="3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本项目为生活污水应急处理站项目，配套</w:t>
                  </w:r>
                  <w:r>
                    <w:rPr>
                      <w:rFonts w:hint="default" w:ascii="Times New Roman" w:hAnsi="Times New Roman" w:eastAsia="宋体" w:cs="Times New Roman"/>
                      <w:color w:val="auto"/>
                      <w:kern w:val="0"/>
                      <w:sz w:val="21"/>
                      <w:szCs w:val="21"/>
                    </w:rPr>
                    <w:t>污水水质监测设施</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baseline"/>
              <w:rPr>
                <w:rFonts w:hint="default" w:ascii="Times New Roman" w:hAnsi="Times New Roman" w:eastAsia="宋体" w:cs="Times New Roman"/>
                <w:b/>
                <w:bCs/>
                <w:color w:val="auto"/>
                <w:spacing w:val="4"/>
                <w:sz w:val="24"/>
                <w:szCs w:val="24"/>
                <w:lang w:val="en-US" w:eastAsia="zh-CN"/>
              </w:rPr>
            </w:pPr>
            <w:r>
              <w:rPr>
                <w:rFonts w:hint="default" w:ascii="Times New Roman" w:hAnsi="Times New Roman" w:eastAsia="宋体" w:cs="Times New Roman"/>
                <w:color w:val="auto"/>
                <w:sz w:val="24"/>
                <w:szCs w:val="24"/>
              </w:rPr>
              <w:t>综上，项目符合</w:t>
            </w:r>
            <w:r>
              <w:rPr>
                <w:rFonts w:hint="default" w:ascii="Times New Roman" w:hAnsi="Times New Roman" w:eastAsia="宋体" w:cs="Times New Roman"/>
                <w:color w:val="auto"/>
                <w:sz w:val="24"/>
                <w:szCs w:val="24"/>
                <w:lang w:val="en-US" w:eastAsia="zh-CN"/>
              </w:rPr>
              <w:t>《山西省水污染防治条例》</w:t>
            </w:r>
            <w:r>
              <w:rPr>
                <w:rFonts w:hint="default" w:ascii="Times New Roman" w:hAnsi="Times New Roman" w:eastAsia="宋体" w:cs="Times New Roman"/>
                <w:color w:val="auto"/>
                <w:sz w:val="24"/>
                <w:szCs w:val="24"/>
              </w:rPr>
              <w:t>的要求</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80" w:lineRule="exact"/>
              <w:jc w:val="left"/>
              <w:textAlignment w:val="baseline"/>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1.2.</w:t>
            </w:r>
            <w:r>
              <w:rPr>
                <w:rFonts w:hint="default" w:ascii="Times New Roman" w:hAnsi="Times New Roman" w:eastAsia="宋体" w:cs="Times New Roman"/>
                <w:b/>
                <w:bCs/>
                <w:color w:val="auto"/>
                <w:spacing w:val="4"/>
                <w:sz w:val="24"/>
                <w:szCs w:val="24"/>
                <w:lang w:val="en-US" w:eastAsia="zh-CN"/>
              </w:rPr>
              <w:t>6</w:t>
            </w:r>
            <w:r>
              <w:rPr>
                <w:rFonts w:hint="default" w:ascii="Times New Roman" w:hAnsi="Times New Roman" w:eastAsia="宋体" w:cs="Times New Roman"/>
                <w:b/>
                <w:bCs/>
                <w:color w:val="auto"/>
                <w:spacing w:val="4"/>
                <w:sz w:val="24"/>
                <w:szCs w:val="24"/>
              </w:rPr>
              <w:t>“三线一单”</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（1）生态保护红线</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经调查，忻州市无相关生态红线区域保护规划，且项目不在自然保护区、风景名胜区、饮用水水源保护区、森林公园、地质公园等重要生态功能区、生态敏感区和脆弱区以及其他要求禁止建设的环境敏感区内，符合生态保护红线的划定原则。</w:t>
            </w:r>
          </w:p>
          <w:p>
            <w:pPr>
              <w:keepNext w:val="0"/>
              <w:keepLines w:val="0"/>
              <w:pageBreakBefore w:val="0"/>
              <w:kinsoku/>
              <w:wordWrap/>
              <w:overflowPunct/>
              <w:topLinePunct w:val="0"/>
              <w:autoSpaceDE/>
              <w:autoSpaceDN/>
              <w:bidi w:val="0"/>
              <w:snapToGrid w:val="0"/>
              <w:spacing w:line="48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（2）环境质量底线</w:t>
            </w:r>
          </w:p>
          <w:p>
            <w:pPr>
              <w:keepNext w:val="0"/>
              <w:keepLines w:val="0"/>
              <w:pageBreakBefore w:val="0"/>
              <w:kinsoku/>
              <w:wordWrap/>
              <w:overflowPunct/>
              <w:topLinePunct w:val="0"/>
              <w:autoSpaceDE/>
              <w:autoSpaceDN/>
              <w:bidi w:val="0"/>
              <w:snapToGrid w:val="0"/>
              <w:spacing w:line="480" w:lineRule="exact"/>
              <w:ind w:firstLine="480"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rPr>
              <w:t>省大气污染防治工作领导组办公室</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2019年县（市、区）环境空气质量状况通报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rPr>
              <w:t>，2019年</w:t>
            </w:r>
            <w:r>
              <w:rPr>
                <w:rFonts w:hint="default" w:ascii="Times New Roman" w:hAnsi="Times New Roman" w:eastAsia="宋体" w:cs="Times New Roman"/>
                <w:color w:val="auto"/>
                <w:spacing w:val="4"/>
                <w:sz w:val="24"/>
                <w:szCs w:val="24"/>
              </w:rPr>
              <w:t>繁峙县</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年平均浓度86µg/m³，NO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年平均浓度32µg/m³，PM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年均浓度104µg/m³，PM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年均浓度47µg/m³，臭氧-8h百分位浓度154µg/m³，一氧化碳百分位浓度2.6mg/m³，SO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浓度不满足《环境空气质量标准》（GB3095-2012）二级标准，项目区域为不达标区。</w:t>
            </w: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的现状监测结果可知，本项目所在地的H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满足《环境影响评价技术导则 大气》（HJ2.2-2018）附录D中其他污染物空气质量浓度参考限值。随着山西省打赢蓝天保卫战2020年决战计划的实施，区域环境空气质量将得到有效改善。</w:t>
            </w:r>
          </w:p>
          <w:p>
            <w:pPr>
              <w:keepNext w:val="0"/>
              <w:keepLines w:val="0"/>
              <w:pageBreakBefore w:val="0"/>
              <w:widowControl/>
              <w:kinsoku/>
              <w:wordWrap/>
              <w:overflowPunct/>
              <w:topLinePunct w:val="0"/>
              <w:autoSpaceDE/>
              <w:autoSpaceDN/>
              <w:bidi w:val="0"/>
              <w:snapToGrid w:val="0"/>
              <w:spacing w:line="480" w:lineRule="exact"/>
              <w:ind w:firstLine="480" w:firstLineChars="200"/>
              <w:jc w:val="left"/>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本项目周边地表水体为滹沱河，位于本项目南侧</w:t>
            </w:r>
            <w:r>
              <w:rPr>
                <w:rFonts w:hint="default" w:ascii="Times New Roman" w:hAnsi="Times New Roman" w:eastAsia="宋体" w:cs="Times New Roman"/>
                <w:bCs/>
                <w:color w:val="auto"/>
                <w:sz w:val="24"/>
                <w:szCs w:val="24"/>
                <w:lang w:val="en-US" w:eastAsia="zh-CN"/>
              </w:rPr>
              <w:t>100</w:t>
            </w:r>
            <w:r>
              <w:rPr>
                <w:rFonts w:hint="default" w:ascii="Times New Roman" w:hAnsi="Times New Roman" w:eastAsia="宋体" w:cs="Times New Roman"/>
                <w:bCs/>
                <w:color w:val="auto"/>
                <w:sz w:val="24"/>
                <w:szCs w:val="24"/>
              </w:rPr>
              <w:t>m处。由地表水监测结果可知，滹沱河水质监测数据均满足《地表水环境质量标准》（GB3838-2002）中</w:t>
            </w:r>
            <w:r>
              <w:rPr>
                <w:rFonts w:hint="default" w:ascii="Times New Roman" w:hAnsi="Times New Roman" w:eastAsia="宋体" w:cs="Times New Roman"/>
                <w:color w:val="auto"/>
                <w:sz w:val="24"/>
                <w:szCs w:val="24"/>
              </w:rPr>
              <w:t>Ⅲ</w:t>
            </w:r>
            <w:r>
              <w:rPr>
                <w:rFonts w:hint="default" w:ascii="Times New Roman" w:hAnsi="Times New Roman" w:eastAsia="宋体" w:cs="Times New Roman"/>
                <w:bCs/>
                <w:color w:val="auto"/>
                <w:sz w:val="24"/>
                <w:szCs w:val="24"/>
              </w:rPr>
              <w:t>类标准值。</w:t>
            </w:r>
          </w:p>
          <w:p>
            <w:pPr>
              <w:pStyle w:val="40"/>
              <w:keepNext w:val="0"/>
              <w:keepLines w:val="0"/>
              <w:pageBreakBefore w:val="0"/>
              <w:kinsoku/>
              <w:wordWrap/>
              <w:overflowPunct/>
              <w:topLinePunct w:val="0"/>
              <w:autoSpaceDE/>
              <w:autoSpaceDN/>
              <w:bidi w:val="0"/>
              <w:snapToGrid w:val="0"/>
              <w:spacing w:line="480" w:lineRule="exact"/>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由地下水监测结果可知，各监测点监测因子均可满足《地下水质量标准》（GB/T 14848-2017）中的Ⅲ类水质标准要求。</w:t>
            </w:r>
          </w:p>
          <w:p>
            <w:pPr>
              <w:pStyle w:val="40"/>
              <w:keepNext w:val="0"/>
              <w:keepLines w:val="0"/>
              <w:pageBreakBefore w:val="0"/>
              <w:kinsoku/>
              <w:wordWrap/>
              <w:overflowPunct/>
              <w:topLinePunct w:val="0"/>
              <w:autoSpaceDE/>
              <w:autoSpaceDN/>
              <w:bidi w:val="0"/>
              <w:snapToGrid w:val="0"/>
              <w:spacing w:line="480" w:lineRule="exact"/>
              <w:ind w:firstLine="48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由声环境监测结果可知，</w:t>
            </w:r>
            <w:r>
              <w:rPr>
                <w:rFonts w:hint="default" w:ascii="Times New Roman" w:hAnsi="Times New Roman" w:eastAsia="宋体" w:cs="Times New Roman"/>
                <w:color w:val="auto"/>
                <w:sz w:val="24"/>
                <w:szCs w:val="24"/>
                <w:lang w:eastAsia="zh-CN"/>
              </w:rPr>
              <w:t>站</w:t>
            </w:r>
            <w:r>
              <w:rPr>
                <w:rFonts w:hint="default" w:ascii="Times New Roman" w:hAnsi="Times New Roman" w:eastAsia="宋体" w:cs="Times New Roman"/>
                <w:color w:val="auto"/>
                <w:sz w:val="24"/>
                <w:szCs w:val="24"/>
              </w:rPr>
              <w:t>界四周昼间噪声值在49.5~52.1dB(A)之间，夜间噪声值在42.0~44.6dB(A)之间，</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szCs w:val="24"/>
              </w:rPr>
              <w:t>四周各监测点位的监测值均满足《声环境质量标准》（GB3096-2008）中2类标准要求，敏感点笔峰村昼间噪声值为50.5dB（A），夜间噪声值为43.9dB（A），满足《声环境质量标准》（GB3096-2008）中1类标准要求</w:t>
            </w:r>
            <w:r>
              <w:rPr>
                <w:rFonts w:hint="default" w:ascii="Times New Roman" w:hAnsi="Times New Roman" w:eastAsia="宋体" w:cs="Times New Roman"/>
                <w:bCs/>
                <w:color w:val="auto"/>
                <w:sz w:val="24"/>
                <w:szCs w:val="24"/>
              </w:rPr>
              <w:t>，分析认为项目声环境质量较好。</w:t>
            </w:r>
          </w:p>
          <w:p>
            <w:pPr>
              <w:pStyle w:val="40"/>
              <w:keepNext w:val="0"/>
              <w:keepLines w:val="0"/>
              <w:pageBreakBefore w:val="0"/>
              <w:kinsoku/>
              <w:wordWrap/>
              <w:overflowPunct/>
              <w:topLinePunct w:val="0"/>
              <w:autoSpaceDE/>
              <w:autoSpaceDN/>
              <w:bidi w:val="0"/>
              <w:snapToGrid w:val="0"/>
              <w:spacing w:line="480" w:lineRule="exact"/>
              <w:ind w:firstLine="48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由土壤监测结果可知，项目监测点各项指标均能达到《土壤环境质量建设用地土壤污染风险管控标准（试行）》（GB</w:t>
            </w:r>
            <w:r>
              <w:rPr>
                <w:rFonts w:hint="default" w:ascii="Times New Roman" w:hAnsi="Times New Roman" w:eastAsia="宋体" w:cs="Times New Roman"/>
                <w:bCs/>
                <w:color w:val="auto"/>
                <w:sz w:val="24"/>
                <w:szCs w:val="24"/>
                <w:lang w:val="en-US" w:eastAsia="zh-CN"/>
              </w:rPr>
              <w:t>36600</w:t>
            </w:r>
            <w:r>
              <w:rPr>
                <w:rFonts w:hint="default" w:ascii="Times New Roman" w:hAnsi="Times New Roman" w:eastAsia="宋体" w:cs="Times New Roman"/>
                <w:bCs/>
                <w:color w:val="auto"/>
                <w:sz w:val="24"/>
                <w:szCs w:val="24"/>
              </w:rPr>
              <w:t>-2018）中的风险筛选值标准，锌达到《土壤环境质量 农用地土壤污染风险管控标准（试行）》（GB 15618-2018）中土壤污染风险筛选值。</w:t>
            </w:r>
          </w:p>
          <w:p>
            <w:pPr>
              <w:keepNext w:val="0"/>
              <w:keepLines w:val="0"/>
              <w:pageBreakBefore w:val="0"/>
              <w:widowControl/>
              <w:kinsoku/>
              <w:wordWrap/>
              <w:overflowPunct/>
              <w:topLinePunct w:val="0"/>
              <w:autoSpaceDE/>
              <w:autoSpaceDN/>
              <w:bidi w:val="0"/>
              <w:snapToGrid w:val="0"/>
              <w:spacing w:line="480" w:lineRule="exact"/>
              <w:ind w:firstLine="480" w:firstLineChars="200"/>
              <w:jc w:val="left"/>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在采取环评提出的防治设施和措策后，项目建设和运营不会恶化现有环境质量。因此满足环境质量底线要求。</w:t>
            </w:r>
          </w:p>
          <w:p>
            <w:pPr>
              <w:keepNext w:val="0"/>
              <w:keepLines w:val="0"/>
              <w:pageBreakBefore w:val="0"/>
              <w:widowControl/>
              <w:kinsoku/>
              <w:wordWrap/>
              <w:overflowPunct/>
              <w:topLinePunct w:val="0"/>
              <w:autoSpaceDE/>
              <w:autoSpaceDN/>
              <w:bidi w:val="0"/>
              <w:snapToGrid w:val="0"/>
              <w:spacing w:line="480" w:lineRule="exact"/>
              <w:ind w:firstLine="480" w:firstLineChars="200"/>
              <w:jc w:val="left"/>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（3）资源利用上线</w:t>
            </w:r>
          </w:p>
          <w:p>
            <w:pPr>
              <w:keepNext w:val="0"/>
              <w:keepLines w:val="0"/>
              <w:pageBreakBefore w:val="0"/>
              <w:kinsoku/>
              <w:wordWrap/>
              <w:overflowPunct/>
              <w:topLinePunct w:val="0"/>
              <w:autoSpaceDE/>
              <w:autoSpaceDN/>
              <w:bidi w:val="0"/>
              <w:snapToGrid w:val="0"/>
              <w:spacing w:line="48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本项目生产过程中所用的资源主要为电，项目通过内部管理、设备选择等措施，以“节能、降耗、减污”为目标，有效控制资源利用。项目资源利用不会突破区域的资源利用上线。</w:t>
            </w:r>
          </w:p>
          <w:p>
            <w:pPr>
              <w:keepNext w:val="0"/>
              <w:keepLines w:val="0"/>
              <w:pageBreakBefore w:val="0"/>
              <w:kinsoku/>
              <w:wordWrap/>
              <w:overflowPunct/>
              <w:topLinePunct w:val="0"/>
              <w:autoSpaceDE/>
              <w:autoSpaceDN/>
              <w:bidi w:val="0"/>
              <w:snapToGrid w:val="0"/>
              <w:spacing w:line="480" w:lineRule="exact"/>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（4）环境准入负面清单</w:t>
            </w:r>
          </w:p>
          <w:p>
            <w:pPr>
              <w:keepNext w:val="0"/>
              <w:keepLines w:val="0"/>
              <w:pageBreakBefore w:val="0"/>
              <w:kinsoku/>
              <w:wordWrap/>
              <w:overflowPunct/>
              <w:topLinePunct w:val="0"/>
              <w:autoSpaceDE/>
              <w:autoSpaceDN/>
              <w:bidi w:val="0"/>
              <w:snapToGrid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本项目所在地无环境准入负面清单。项目属于《产业结构调整指导目录》（2019</w:t>
            </w:r>
            <w:r>
              <w:rPr>
                <w:rFonts w:hint="default" w:ascii="Times New Roman" w:hAnsi="Times New Roman" w:eastAsia="宋体" w:cs="Times New Roman"/>
                <w:bCs/>
                <w:color w:val="auto"/>
                <w:sz w:val="24"/>
                <w:szCs w:val="24"/>
                <w:lang w:eastAsia="zh-CN"/>
              </w:rPr>
              <w:t>本</w:t>
            </w:r>
            <w:r>
              <w:rPr>
                <w:rFonts w:hint="default" w:ascii="Times New Roman" w:hAnsi="Times New Roman" w:eastAsia="宋体" w:cs="Times New Roman"/>
                <w:bCs/>
                <w:color w:val="auto"/>
                <w:sz w:val="24"/>
                <w:szCs w:val="24"/>
              </w:rPr>
              <w:t>）中的鼓励类，不违背环境准入负面清单的原则要求。</w:t>
            </w:r>
          </w:p>
          <w:p>
            <w:pPr>
              <w:keepNext w:val="0"/>
              <w:keepLines w:val="0"/>
              <w:pageBreakBefore w:val="0"/>
              <w:kinsoku/>
              <w:wordWrap/>
              <w:overflowPunct/>
              <w:topLinePunct w:val="0"/>
              <w:autoSpaceDE/>
              <w:autoSpaceDN/>
              <w:bidi w:val="0"/>
              <w:adjustRightInd w:val="0"/>
              <w:snapToGrid w:val="0"/>
              <w:spacing w:line="480" w:lineRule="exact"/>
              <w:jc w:val="left"/>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1.3工程概况</w:t>
            </w:r>
          </w:p>
          <w:p>
            <w:pPr>
              <w:keepNext w:val="0"/>
              <w:keepLines w:val="0"/>
              <w:pageBreakBefore w:val="0"/>
              <w:kinsoku/>
              <w:wordWrap/>
              <w:overflowPunct/>
              <w:topLinePunct w:val="0"/>
              <w:autoSpaceDE/>
              <w:autoSpaceDN/>
              <w:bidi w:val="0"/>
              <w:snapToGrid w:val="0"/>
              <w:spacing w:line="480" w:lineRule="exact"/>
              <w:jc w:val="left"/>
              <w:textAlignment w:val="baseline"/>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1.3.1工程概况</w:t>
            </w:r>
          </w:p>
          <w:p>
            <w:pPr>
              <w:keepNext w:val="0"/>
              <w:keepLines w:val="0"/>
              <w:pageBreakBefore w:val="0"/>
              <w:kinsoku/>
              <w:wordWrap/>
              <w:overflowPunct/>
              <w:topLinePunct w:val="0"/>
              <w:autoSpaceDE/>
              <w:autoSpaceDN/>
              <w:bidi w:val="0"/>
              <w:snapToGrid w:val="0"/>
              <w:spacing w:line="480" w:lineRule="exact"/>
              <w:ind w:firstLine="496" w:firstLineChars="200"/>
              <w:jc w:val="left"/>
              <w:textAlignment w:val="baseline"/>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项目名称：山西省繁峙县3000m³生活污水应急处理站项目</w:t>
            </w:r>
          </w:p>
          <w:p>
            <w:pPr>
              <w:keepNext w:val="0"/>
              <w:keepLines w:val="0"/>
              <w:pageBreakBefore w:val="0"/>
              <w:kinsoku/>
              <w:wordWrap/>
              <w:overflowPunct/>
              <w:topLinePunct w:val="0"/>
              <w:autoSpaceDE/>
              <w:autoSpaceDN/>
              <w:bidi w:val="0"/>
              <w:snapToGrid w:val="0"/>
              <w:spacing w:line="480" w:lineRule="exact"/>
              <w:ind w:firstLine="496"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建设单位：繁峙县市政工程服务中心</w:t>
            </w:r>
          </w:p>
          <w:p>
            <w:pPr>
              <w:keepNext w:val="0"/>
              <w:keepLines w:val="0"/>
              <w:pageBreakBefore w:val="0"/>
              <w:kinsoku/>
              <w:wordWrap/>
              <w:overflowPunct/>
              <w:topLinePunct w:val="0"/>
              <w:autoSpaceDE/>
              <w:autoSpaceDN/>
              <w:bidi w:val="0"/>
              <w:snapToGrid w:val="0"/>
              <w:spacing w:line="480" w:lineRule="exact"/>
              <w:ind w:firstLine="496" w:firstLineChars="200"/>
              <w:jc w:val="left"/>
              <w:textAlignment w:val="baseline"/>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建设性质：新建</w:t>
            </w:r>
          </w:p>
          <w:p>
            <w:pPr>
              <w:keepNext w:val="0"/>
              <w:keepLines w:val="0"/>
              <w:pageBreakBefore w:val="0"/>
              <w:kinsoku/>
              <w:wordWrap/>
              <w:overflowPunct/>
              <w:topLinePunct w:val="0"/>
              <w:autoSpaceDE/>
              <w:autoSpaceDN/>
              <w:bidi w:val="0"/>
              <w:snapToGrid w:val="0"/>
              <w:spacing w:line="480" w:lineRule="exact"/>
              <w:ind w:firstLine="496" w:firstLineChars="200"/>
              <w:jc w:val="left"/>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投资组成：本项目总投资</w:t>
            </w:r>
            <w:r>
              <w:rPr>
                <w:rFonts w:hint="default" w:ascii="Times New Roman" w:hAnsi="Times New Roman" w:eastAsia="宋体" w:cs="Times New Roman"/>
                <w:bCs/>
                <w:color w:val="auto"/>
                <w:sz w:val="24"/>
                <w:szCs w:val="24"/>
              </w:rPr>
              <w:t>1451.25万元，全部由县财政配套解决。</w:t>
            </w:r>
          </w:p>
          <w:p>
            <w:pPr>
              <w:keepNext w:val="0"/>
              <w:keepLines w:val="0"/>
              <w:pageBreakBefore w:val="0"/>
              <w:kinsoku/>
              <w:wordWrap/>
              <w:overflowPunct/>
              <w:topLinePunct w:val="0"/>
              <w:autoSpaceDE/>
              <w:autoSpaceDN/>
              <w:bidi w:val="0"/>
              <w:snapToGrid w:val="0"/>
              <w:spacing w:line="480" w:lineRule="exact"/>
              <w:ind w:firstLine="496"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建设地点：本项目位于繁峙县滨河北大道和双拥路交叉口西北角</w:t>
            </w:r>
            <w:r>
              <w:rPr>
                <w:rFonts w:hint="default" w:ascii="Times New Roman" w:hAnsi="Times New Roman" w:eastAsia="宋体" w:cs="Times New Roman"/>
                <w:color w:val="auto"/>
                <w:sz w:val="24"/>
                <w:szCs w:val="24"/>
              </w:rPr>
              <w:t>，地理坐标为：北纬39°10'48.55"，东经113°14'27.76"，项目</w:t>
            </w:r>
            <w:r>
              <w:rPr>
                <w:rFonts w:hint="default" w:ascii="Times New Roman" w:hAnsi="Times New Roman" w:eastAsia="宋体" w:cs="Times New Roman"/>
                <w:color w:val="auto"/>
                <w:sz w:val="24"/>
                <w:szCs w:val="24"/>
                <w:lang w:eastAsia="zh-CN"/>
              </w:rPr>
              <w:t>西侧</w:t>
            </w:r>
            <w:r>
              <w:rPr>
                <w:rFonts w:hint="default" w:ascii="Times New Roman" w:hAnsi="Times New Roman" w:eastAsia="宋体" w:cs="Times New Roman"/>
                <w:color w:val="auto"/>
                <w:sz w:val="24"/>
                <w:szCs w:val="24"/>
              </w:rPr>
              <w:t>为耕地</w:t>
            </w:r>
            <w:r>
              <w:rPr>
                <w:rFonts w:hint="default" w:ascii="Times New Roman" w:hAnsi="Times New Roman" w:eastAsia="宋体" w:cs="Times New Roman"/>
                <w:color w:val="auto"/>
                <w:sz w:val="24"/>
                <w:szCs w:val="24"/>
                <w:lang w:eastAsia="zh-CN"/>
              </w:rPr>
              <w:t>、南侧及东侧为滨河北大道、北侧为武装部队</w:t>
            </w:r>
            <w:r>
              <w:rPr>
                <w:rFonts w:hint="default" w:ascii="Times New Roman" w:hAnsi="Times New Roman" w:eastAsia="宋体" w:cs="Times New Roman"/>
                <w:color w:val="auto"/>
                <w:sz w:val="24"/>
                <w:szCs w:val="24"/>
              </w:rPr>
              <w:t>。项目地理位置图见附图1。</w:t>
            </w:r>
          </w:p>
          <w:p>
            <w:pPr>
              <w:keepNext w:val="0"/>
              <w:keepLines w:val="0"/>
              <w:pageBreakBefore w:val="0"/>
              <w:kinsoku/>
              <w:wordWrap/>
              <w:overflowPunct/>
              <w:topLinePunct w:val="0"/>
              <w:autoSpaceDE/>
              <w:autoSpaceDN/>
              <w:bidi w:val="0"/>
              <w:snapToGrid w:val="0"/>
              <w:spacing w:line="480" w:lineRule="exact"/>
              <w:ind w:firstLine="496" w:firstLineChars="200"/>
              <w:jc w:val="left"/>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建设规模：</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pacing w:val="4"/>
                <w:sz w:val="24"/>
                <w:szCs w:val="24"/>
              </w:rPr>
              <w:t>处理规模为3000m³/d，采用</w:t>
            </w:r>
            <w:r>
              <w:rPr>
                <w:rFonts w:hint="default" w:ascii="Times New Roman" w:hAnsi="Times New Roman" w:eastAsia="宋体" w:cs="Times New Roman"/>
                <w:color w:val="auto"/>
                <w:spacing w:val="4"/>
                <w:sz w:val="24"/>
                <w:szCs w:val="24"/>
                <w:lang w:eastAsia="zh-CN"/>
              </w:rPr>
              <w:t>“</w:t>
            </w:r>
            <w:r>
              <w:rPr>
                <w:rFonts w:hint="default" w:ascii="Times New Roman" w:hAnsi="Times New Roman" w:eastAsia="宋体" w:cs="Times New Roman"/>
                <w:color w:val="auto"/>
                <w:spacing w:val="4"/>
                <w:sz w:val="24"/>
                <w:szCs w:val="24"/>
              </w:rPr>
              <w:t>A</w:t>
            </w:r>
            <w:r>
              <w:rPr>
                <w:rFonts w:hint="default" w:ascii="Times New Roman" w:hAnsi="Times New Roman" w:eastAsia="宋体" w:cs="Times New Roman"/>
                <w:color w:val="auto"/>
                <w:spacing w:val="4"/>
                <w:sz w:val="24"/>
                <w:szCs w:val="24"/>
                <w:vertAlign w:val="superscript"/>
                <w:lang w:val="en-US" w:eastAsia="zh-CN"/>
              </w:rPr>
              <w:t>2</w:t>
            </w:r>
            <w:r>
              <w:rPr>
                <w:rFonts w:hint="default" w:ascii="Times New Roman" w:hAnsi="Times New Roman" w:eastAsia="宋体" w:cs="Times New Roman"/>
                <w:color w:val="auto"/>
                <w:spacing w:val="4"/>
                <w:sz w:val="24"/>
                <w:szCs w:val="24"/>
              </w:rPr>
              <w:t>/O</w:t>
            </w:r>
            <w:r>
              <w:rPr>
                <w:rFonts w:hint="default" w:ascii="Times New Roman" w:hAnsi="Times New Roman" w:eastAsia="宋体" w:cs="Times New Roman"/>
                <w:color w:val="auto"/>
                <w:spacing w:val="4"/>
                <w:sz w:val="24"/>
                <w:szCs w:val="24"/>
                <w:lang w:val="en-US" w:eastAsia="zh-CN"/>
              </w:rPr>
              <w:t>+MBR</w:t>
            </w:r>
            <w:r>
              <w:rPr>
                <w:rFonts w:hint="default" w:ascii="Times New Roman" w:hAnsi="Times New Roman" w:eastAsia="宋体" w:cs="Times New Roman"/>
                <w:color w:val="auto"/>
                <w:spacing w:val="4"/>
                <w:sz w:val="24"/>
                <w:szCs w:val="24"/>
                <w:lang w:eastAsia="zh-CN"/>
              </w:rPr>
              <w:t>”</w:t>
            </w:r>
            <w:r>
              <w:rPr>
                <w:rFonts w:hint="default" w:ascii="Times New Roman" w:hAnsi="Times New Roman" w:eastAsia="宋体" w:cs="Times New Roman"/>
                <w:color w:val="auto"/>
                <w:spacing w:val="4"/>
                <w:sz w:val="24"/>
                <w:szCs w:val="24"/>
              </w:rPr>
              <w:t>处理工艺。</w:t>
            </w:r>
          </w:p>
          <w:p>
            <w:pPr>
              <w:keepNext w:val="0"/>
              <w:keepLines w:val="0"/>
              <w:pageBreakBefore w:val="0"/>
              <w:kinsoku/>
              <w:wordWrap/>
              <w:overflowPunct/>
              <w:topLinePunct w:val="0"/>
              <w:autoSpaceDE/>
              <w:autoSpaceDN/>
              <w:bidi w:val="0"/>
              <w:snapToGrid w:val="0"/>
              <w:spacing w:line="480" w:lineRule="exact"/>
              <w:ind w:firstLine="496" w:firstLineChars="200"/>
              <w:jc w:val="left"/>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服务范围与设计年限：城市环境对经济发展影响较大，污水厂的建设应稍有超前，以避免刚刚建成的污水厂即面临超负荷的工作状态，同时又不可使其规模过大，造成长期闲置，增加成本。</w:t>
            </w:r>
          </w:p>
          <w:p>
            <w:pPr>
              <w:keepNext w:val="0"/>
              <w:keepLines w:val="0"/>
              <w:pageBreakBefore w:val="0"/>
              <w:kinsoku/>
              <w:wordWrap/>
              <w:overflowPunct/>
              <w:topLinePunct w:val="0"/>
              <w:autoSpaceDE/>
              <w:autoSpaceDN/>
              <w:bidi w:val="0"/>
              <w:snapToGrid w:val="0"/>
              <w:spacing w:line="480" w:lineRule="exact"/>
              <w:ind w:firstLine="496" w:firstLineChars="200"/>
              <w:jc w:val="left"/>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结合繁峙县总体规划和滹沱河流域综合治理总体规划的水质保护目标年限，繁峙县</w:t>
            </w:r>
            <w:r>
              <w:rPr>
                <w:rFonts w:hint="default" w:ascii="Times New Roman" w:hAnsi="Times New Roman" w:eastAsia="宋体" w:cs="Times New Roman"/>
                <w:color w:val="auto"/>
                <w:sz w:val="24"/>
                <w:szCs w:val="24"/>
              </w:rPr>
              <w:t>生活污水应急处理站</w:t>
            </w:r>
            <w:r>
              <w:rPr>
                <w:rFonts w:hint="default" w:ascii="Times New Roman" w:hAnsi="Times New Roman" w:eastAsia="宋体" w:cs="Times New Roman"/>
                <w:color w:val="auto"/>
                <w:spacing w:val="4"/>
                <w:sz w:val="24"/>
                <w:szCs w:val="24"/>
              </w:rPr>
              <w:t>设计年限为20</w:t>
            </w:r>
            <w:r>
              <w:rPr>
                <w:rFonts w:hint="default" w:ascii="Times New Roman" w:hAnsi="Times New Roman" w:eastAsia="宋体" w:cs="Times New Roman"/>
                <w:color w:val="auto"/>
                <w:spacing w:val="4"/>
                <w:sz w:val="24"/>
                <w:szCs w:val="24"/>
                <w:lang w:val="en-US" w:eastAsia="zh-CN"/>
              </w:rPr>
              <w:t>30</w:t>
            </w:r>
            <w:r>
              <w:rPr>
                <w:rFonts w:hint="default" w:ascii="Times New Roman" w:hAnsi="Times New Roman" w:eastAsia="宋体" w:cs="Times New Roman"/>
                <w:color w:val="auto"/>
                <w:spacing w:val="4"/>
                <w:sz w:val="24"/>
                <w:szCs w:val="24"/>
              </w:rPr>
              <w:t>年。</w:t>
            </w:r>
          </w:p>
          <w:p>
            <w:pPr>
              <w:keepNext w:val="0"/>
              <w:keepLines w:val="0"/>
              <w:pageBreakBefore w:val="0"/>
              <w:kinsoku/>
              <w:wordWrap/>
              <w:overflowPunct/>
              <w:topLinePunct w:val="0"/>
              <w:autoSpaceDE/>
              <w:autoSpaceDN/>
              <w:bidi w:val="0"/>
              <w:snapToGrid w:val="0"/>
              <w:spacing w:line="480" w:lineRule="exact"/>
              <w:jc w:val="left"/>
              <w:textAlignment w:val="baseline"/>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1.3.2工程建设内容及规模</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（1）主要工程内容</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pacing w:val="4"/>
                <w:sz w:val="24"/>
                <w:szCs w:val="24"/>
              </w:rPr>
              <w:t>繁峙县滨河北大道和双拥路交叉口西北角</w:t>
            </w:r>
            <w:r>
              <w:rPr>
                <w:rFonts w:hint="default" w:ascii="Times New Roman" w:hAnsi="Times New Roman" w:eastAsia="宋体" w:cs="Times New Roman"/>
                <w:color w:val="auto"/>
                <w:sz w:val="24"/>
                <w:szCs w:val="24"/>
              </w:rPr>
              <w:t>，本项目建设内容包括新建污水处理站、综合办公室、化验室、</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szCs w:val="24"/>
              </w:rPr>
              <w:t>绿化、硬化等。本项目主要建设内容见表1-1，主要建、构筑物一览表见表1-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本次工程不包含管网工程。</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sz w:val="24"/>
                <w:lang w:val="en-US" w:eastAsia="zh-CN"/>
              </w:rPr>
              <w:t xml:space="preserve">3  </w:t>
            </w:r>
            <w:r>
              <w:rPr>
                <w:rFonts w:hint="default" w:ascii="Times New Roman" w:hAnsi="Times New Roman" w:eastAsia="宋体" w:cs="Times New Roman"/>
                <w:b/>
                <w:bCs/>
                <w:color w:val="auto"/>
                <w:sz w:val="24"/>
              </w:rPr>
              <w:t>工程建设内容一览表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96"/>
              <w:gridCol w:w="1577"/>
              <w:gridCol w:w="4822"/>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名称</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建设内容</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主体工程</w:t>
                  </w: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格栅间</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砖混</w:t>
                  </w:r>
                  <w:r>
                    <w:rPr>
                      <w:rFonts w:hint="default" w:ascii="Times New Roman" w:hAnsi="Times New Roman" w:eastAsia="宋体" w:cs="Times New Roman"/>
                      <w:bCs/>
                      <w:color w:val="auto"/>
                      <w:sz w:val="21"/>
                      <w:szCs w:val="21"/>
                    </w:rPr>
                    <w:t>结构，尺寸规格</w:t>
                  </w:r>
                  <w:r>
                    <w:rPr>
                      <w:rFonts w:hint="default" w:ascii="Times New Roman" w:hAnsi="Times New Roman" w:eastAsia="宋体" w:cs="Times New Roman"/>
                      <w:color w:val="auto"/>
                      <w:sz w:val="21"/>
                      <w:szCs w:val="21"/>
                      <w:lang w:val="en-US" w:eastAsia="zh-CN"/>
                    </w:rPr>
                    <w:t>5.56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2.03</w:t>
                  </w:r>
                  <w:r>
                    <w:rPr>
                      <w:rFonts w:hint="default" w:ascii="Times New Roman" w:hAnsi="Times New Roman" w:eastAsia="宋体" w:cs="Times New Roman"/>
                      <w:color w:val="auto"/>
                      <w:sz w:val="21"/>
                      <w:szCs w:val="21"/>
                    </w:rPr>
                    <w:t>m</w:t>
                  </w:r>
                  <w:r>
                    <w:rPr>
                      <w:rFonts w:hint="default" w:ascii="Times New Roman" w:hAnsi="Times New Roman" w:eastAsia="宋体" w:cs="Times New Roman"/>
                      <w:bCs/>
                      <w:color w:val="auto"/>
                      <w:sz w:val="21"/>
                      <w:szCs w:val="21"/>
                    </w:rPr>
                    <w:t>；内设</w:t>
                  </w:r>
                  <w:r>
                    <w:rPr>
                      <w:rFonts w:hint="default" w:ascii="Times New Roman" w:hAnsi="Times New Roman" w:eastAsia="宋体" w:cs="Times New Roman"/>
                      <w:bCs/>
                      <w:color w:val="auto"/>
                      <w:sz w:val="21"/>
                      <w:szCs w:val="21"/>
                      <w:lang w:eastAsia="zh-CN"/>
                    </w:rPr>
                    <w:t>细</w:t>
                  </w:r>
                  <w:r>
                    <w:rPr>
                      <w:rFonts w:hint="default" w:ascii="Times New Roman" w:hAnsi="Times New Roman" w:eastAsia="宋体" w:cs="Times New Roman"/>
                      <w:bCs/>
                      <w:color w:val="auto"/>
                      <w:sz w:val="21"/>
                      <w:szCs w:val="21"/>
                    </w:rPr>
                    <w:t>格栅1台</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格栅规格：</w:t>
                  </w:r>
                  <w:r>
                    <w:rPr>
                      <w:rFonts w:hint="default" w:ascii="Times New Roman" w:hAnsi="Times New Roman" w:eastAsia="宋体" w:cs="Times New Roman"/>
                      <w:bCs/>
                      <w:color w:val="auto"/>
                      <w:sz w:val="21"/>
                      <w:szCs w:val="21"/>
                      <w:lang w:eastAsia="zh-CN"/>
                    </w:rPr>
                    <w:t>渠深</w:t>
                  </w:r>
                  <w:r>
                    <w:rPr>
                      <w:rFonts w:hint="default" w:ascii="Times New Roman" w:hAnsi="Times New Roman" w:eastAsia="宋体" w:cs="Times New Roman"/>
                      <w:bCs/>
                      <w:color w:val="auto"/>
                      <w:sz w:val="21"/>
                      <w:szCs w:val="21"/>
                      <w:lang w:val="en-US" w:eastAsia="zh-CN"/>
                    </w:rPr>
                    <w:t>800mm渠宽700m</w:t>
                  </w:r>
                  <w:r>
                    <w:rPr>
                      <w:rFonts w:hint="default" w:ascii="Times New Roman" w:hAnsi="Times New Roman" w:eastAsia="宋体" w:cs="Times New Roman"/>
                      <w:bCs/>
                      <w:color w:val="auto"/>
                      <w:sz w:val="21"/>
                      <w:szCs w:val="21"/>
                    </w:rPr>
                    <w:t>，栅隙</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mm，N=</w:t>
                  </w:r>
                  <w:r>
                    <w:rPr>
                      <w:rFonts w:hint="default" w:ascii="Times New Roman" w:hAnsi="Times New Roman" w:eastAsia="宋体" w:cs="Times New Roman"/>
                      <w:bCs/>
                      <w:color w:val="auto"/>
                      <w:sz w:val="21"/>
                      <w:szCs w:val="21"/>
                      <w:lang w:val="en-US" w:eastAsia="zh-CN"/>
                    </w:rPr>
                    <w:t>0.37</w:t>
                  </w:r>
                  <w:r>
                    <w:rPr>
                      <w:rFonts w:hint="default" w:ascii="Times New Roman" w:hAnsi="Times New Roman" w:eastAsia="宋体" w:cs="Times New Roman"/>
                      <w:bCs/>
                      <w:color w:val="auto"/>
                      <w:sz w:val="21"/>
                      <w:szCs w:val="21"/>
                    </w:rPr>
                    <w:t>kW</w:t>
                  </w:r>
                  <w:r>
                    <w:rPr>
                      <w:rFonts w:hint="default" w:ascii="Times New Roman" w:hAnsi="Times New Roman" w:eastAsia="宋体" w:cs="Times New Roman"/>
                      <w:bCs/>
                      <w:color w:val="auto"/>
                      <w:sz w:val="21"/>
                      <w:szCs w:val="21"/>
                      <w:lang w:eastAsia="zh-CN"/>
                    </w:rPr>
                    <w:t>）</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调节池</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钢砼结构，尺寸规格12</w:t>
                  </w:r>
                  <w:r>
                    <w:rPr>
                      <w:rFonts w:hint="default" w:ascii="Times New Roman" w:hAnsi="Times New Roman" w:eastAsia="宋体" w:cs="Times New Roman"/>
                      <w:bCs/>
                      <w:color w:val="auto"/>
                      <w:sz w:val="21"/>
                      <w:szCs w:val="21"/>
                      <w:lang w:val="en-US" w:eastAsia="zh-CN"/>
                    </w:rPr>
                    <w:t>.0m</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10.0m</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清水池</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bCs/>
                      <w:color w:val="auto"/>
                      <w:kern w:val="2"/>
                      <w:sz w:val="21"/>
                      <w:szCs w:val="21"/>
                      <w:lang w:val="zh-CN" w:eastAsia="zh-CN" w:bidi="ar-SA"/>
                    </w:rPr>
                  </w:pPr>
                  <w:r>
                    <w:rPr>
                      <w:rFonts w:hint="default" w:ascii="Times New Roman" w:hAnsi="Times New Roman" w:eastAsia="宋体" w:cs="Times New Roman"/>
                      <w:b w:val="0"/>
                      <w:color w:val="auto"/>
                      <w:sz w:val="21"/>
                      <w:szCs w:val="21"/>
                      <w:lang w:val="zh-CN"/>
                    </w:rPr>
                    <w:t>钢砼结构，尺寸规格：</w:t>
                  </w:r>
                  <w:r>
                    <w:rPr>
                      <w:rFonts w:hint="default" w:ascii="Times New Roman" w:hAnsi="Times New Roman" w:eastAsia="宋体" w:cs="Times New Roman"/>
                      <w:b w:val="0"/>
                      <w:color w:val="auto"/>
                      <w:sz w:val="21"/>
                      <w:szCs w:val="21"/>
                      <w:lang w:val="en-US" w:eastAsia="zh-CN"/>
                    </w:rPr>
                    <w:t>10.0m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5m</w:t>
                  </w:r>
                  <w:r>
                    <w:rPr>
                      <w:rFonts w:hint="default" w:ascii="Times New Roman" w:hAnsi="Times New Roman" w:eastAsia="宋体" w:cs="Times New Roman"/>
                      <w:b w:val="0"/>
                      <w:color w:val="auto"/>
                      <w:sz w:val="21"/>
                      <w:szCs w:val="21"/>
                      <w:lang w:val="zh-CN"/>
                    </w:rPr>
                    <w:t xml:space="preserve"> </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中间水池</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钢砼结构，尺寸规格</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val="0"/>
                      <w:color w:val="auto"/>
                      <w:sz w:val="21"/>
                      <w:szCs w:val="21"/>
                      <w:lang w:val="zh-CN"/>
                    </w:rPr>
                    <w:t>5</w:t>
                  </w:r>
                  <w:r>
                    <w:rPr>
                      <w:rFonts w:hint="default" w:ascii="Times New Roman" w:hAnsi="Times New Roman" w:eastAsia="宋体" w:cs="Times New Roman"/>
                      <w:b w:val="0"/>
                      <w:color w:val="auto"/>
                      <w:sz w:val="21"/>
                      <w:szCs w:val="21"/>
                      <w:lang w:val="en-US" w:eastAsia="zh-CN"/>
                    </w:rPr>
                    <w:t>.0m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4.85m</w:t>
                  </w:r>
                  <w:r>
                    <w:rPr>
                      <w:rFonts w:hint="default" w:ascii="Times New Roman" w:hAnsi="Times New Roman" w:eastAsia="宋体" w:cs="Times New Roman"/>
                      <w:b w:val="0"/>
                      <w:color w:val="auto"/>
                      <w:sz w:val="21"/>
                      <w:szCs w:val="21"/>
                      <w:lang w:val="zh-CN"/>
                    </w:rPr>
                    <w:t xml:space="preserve"> </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污泥池</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color w:val="auto"/>
                      <w:sz w:val="21"/>
                      <w:szCs w:val="21"/>
                      <w:lang w:val="zh-CN"/>
                    </w:rPr>
                    <w:t>钢砼结构，尺寸规格：5</w:t>
                  </w:r>
                  <w:r>
                    <w:rPr>
                      <w:rFonts w:hint="default" w:ascii="Times New Roman" w:hAnsi="Times New Roman" w:eastAsia="宋体" w:cs="Times New Roman"/>
                      <w:b w:val="0"/>
                      <w:color w:val="auto"/>
                      <w:sz w:val="21"/>
                      <w:szCs w:val="21"/>
                      <w:lang w:val="en-US" w:eastAsia="zh-CN"/>
                    </w:rPr>
                    <w:t>.0m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4.85m</w:t>
                  </w:r>
                  <w:r>
                    <w:rPr>
                      <w:rFonts w:hint="default" w:ascii="Times New Roman" w:hAnsi="Times New Roman" w:eastAsia="宋体" w:cs="Times New Roman"/>
                      <w:b w:val="0"/>
                      <w:color w:val="auto"/>
                      <w:sz w:val="21"/>
                      <w:szCs w:val="21"/>
                      <w:lang w:val="zh-CN"/>
                    </w:rPr>
                    <w:t xml:space="preserve">  </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压滤间</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bCs/>
                      <w:color w:val="auto"/>
                      <w:kern w:val="2"/>
                      <w:sz w:val="21"/>
                      <w:szCs w:val="21"/>
                      <w:lang w:val="zh-CN" w:eastAsia="zh-CN" w:bidi="ar-SA"/>
                    </w:rPr>
                  </w:pPr>
                  <w:r>
                    <w:rPr>
                      <w:rFonts w:hint="default" w:ascii="Times New Roman" w:hAnsi="Times New Roman" w:eastAsia="宋体" w:cs="Times New Roman"/>
                      <w:b w:val="0"/>
                      <w:color w:val="auto"/>
                      <w:sz w:val="21"/>
                      <w:szCs w:val="21"/>
                      <w:lang w:val="zh-CN"/>
                    </w:rPr>
                    <w:t>钢结构，尺寸规格：</w:t>
                  </w:r>
                  <w:r>
                    <w:rPr>
                      <w:rFonts w:hint="default" w:ascii="Times New Roman" w:hAnsi="Times New Roman" w:eastAsia="宋体" w:cs="Times New Roman"/>
                      <w:b w:val="0"/>
                      <w:color w:val="auto"/>
                      <w:sz w:val="21"/>
                      <w:szCs w:val="21"/>
                      <w:lang w:val="en-US" w:eastAsia="zh-CN"/>
                    </w:rPr>
                    <w:t>10.825m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r>
                    <w:rPr>
                      <w:rFonts w:hint="default" w:ascii="Times New Roman" w:hAnsi="Times New Roman" w:eastAsia="宋体" w:cs="Times New Roman"/>
                      <w:b w:val="0"/>
                      <w:color w:val="auto"/>
                      <w:sz w:val="21"/>
                      <w:szCs w:val="21"/>
                      <w:lang w:val="en-US" w:eastAsia="zh-CN"/>
                    </w:rPr>
                    <w:t>，内设1套污泥混合池（1m³）、叠螺脱水机（301型）、污泥螺杆泵（Q=15m³/h，H=20m）、絮凝剂添加装置</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加药间</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rPr>
                    <w:t>钢砼结构，尺寸规格</w:t>
                  </w:r>
                  <w:r>
                    <w:rPr>
                      <w:rFonts w:hint="default" w:ascii="Times New Roman" w:hAnsi="Times New Roman" w:eastAsia="宋体" w:cs="Times New Roman"/>
                      <w:b w:val="0"/>
                      <w:color w:val="auto"/>
                      <w:sz w:val="21"/>
                      <w:szCs w:val="21"/>
                      <w:lang w:val="en-US" w:eastAsia="zh-CN"/>
                    </w:rPr>
                    <w:t>6.96m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r>
                    <w:rPr>
                      <w:rFonts w:hint="default" w:ascii="Times New Roman" w:hAnsi="Times New Roman" w:eastAsia="宋体" w:cs="Times New Roman"/>
                      <w:bCs/>
                      <w:color w:val="auto"/>
                      <w:sz w:val="21"/>
                      <w:szCs w:val="21"/>
                      <w:lang w:val="en-US" w:eastAsia="zh-CN"/>
                    </w:rPr>
                    <w:t>，内设5个加药桶</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泵房</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尺寸规格：10.56m*2.49m，</w:t>
                  </w:r>
                  <w:r>
                    <w:rPr>
                      <w:rFonts w:hint="default" w:ascii="Times New Roman" w:hAnsi="Times New Roman" w:eastAsia="宋体" w:cs="Times New Roman"/>
                      <w:b w:val="0"/>
                      <w:bCs w:val="0"/>
                      <w:color w:val="auto"/>
                      <w:kern w:val="2"/>
                      <w:sz w:val="21"/>
                      <w:szCs w:val="21"/>
                      <w:lang w:val="en-US" w:eastAsia="zh-CN" w:bidi="ar-SA"/>
                    </w:rPr>
                    <w:t>内设4台自吸泵（2用2备）</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事故池</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站区西南方向设375m³事故池</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风机房</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color w:val="auto"/>
                      <w:sz w:val="21"/>
                      <w:szCs w:val="21"/>
                      <w:lang w:val="zh-CN"/>
                    </w:rPr>
                  </w:pPr>
                  <w:r>
                    <w:rPr>
                      <w:rFonts w:hint="default" w:ascii="Times New Roman" w:hAnsi="Times New Roman" w:eastAsia="宋体" w:cs="Times New Roman"/>
                      <w:b w:val="0"/>
                      <w:color w:val="auto"/>
                      <w:sz w:val="21"/>
                      <w:szCs w:val="21"/>
                      <w:lang w:val="zh-CN"/>
                    </w:rPr>
                    <w:t>钢结构，尺寸规格：</w:t>
                  </w:r>
                  <w:r>
                    <w:rPr>
                      <w:rFonts w:hint="default" w:ascii="Times New Roman" w:hAnsi="Times New Roman" w:eastAsia="宋体" w:cs="Times New Roman"/>
                      <w:b w:val="0"/>
                      <w:color w:val="auto"/>
                      <w:sz w:val="21"/>
                      <w:szCs w:val="21"/>
                      <w:lang w:val="en-US" w:eastAsia="zh-CN"/>
                    </w:rPr>
                    <w:t>21.04m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6.83m</w:t>
                  </w:r>
                  <w:r>
                    <w:rPr>
                      <w:rFonts w:hint="default" w:ascii="Times New Roman" w:hAnsi="Times New Roman" w:eastAsia="宋体" w:cs="Times New Roman"/>
                      <w:b w:val="0"/>
                      <w:color w:val="auto"/>
                      <w:sz w:val="21"/>
                      <w:szCs w:val="21"/>
                      <w:lang w:val="zh-CN"/>
                    </w:rPr>
                    <w:t xml:space="preserve"> ，内设</w:t>
                  </w:r>
                  <w:r>
                    <w:rPr>
                      <w:rFonts w:hint="default" w:ascii="Times New Roman" w:hAnsi="Times New Roman" w:eastAsia="宋体" w:cs="Times New Roman"/>
                      <w:b w:val="0"/>
                      <w:color w:val="auto"/>
                      <w:sz w:val="21"/>
                      <w:szCs w:val="21"/>
                      <w:lang w:val="en-US" w:eastAsia="zh-CN"/>
                    </w:rPr>
                    <w:t>4台</w:t>
                  </w:r>
                  <w:r>
                    <w:rPr>
                      <w:rFonts w:hint="default" w:ascii="Times New Roman" w:hAnsi="Times New Roman" w:eastAsia="宋体" w:cs="Times New Roman"/>
                      <w:b w:val="0"/>
                      <w:color w:val="auto"/>
                      <w:sz w:val="21"/>
                      <w:szCs w:val="21"/>
                      <w:lang w:val="zh-CN"/>
                    </w:rPr>
                    <w:t>曝气风机及除臭系统（光氧活性炭一体机）</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危废间</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bCs/>
                      <w:color w:val="auto"/>
                      <w:kern w:val="2"/>
                      <w:sz w:val="21"/>
                      <w:szCs w:val="21"/>
                      <w:lang w:val="zh-CN" w:eastAsia="zh-CN" w:bidi="ar-SA"/>
                    </w:rPr>
                  </w:pPr>
                  <w:r>
                    <w:rPr>
                      <w:rFonts w:hint="default" w:ascii="Times New Roman" w:hAnsi="Times New Roman" w:eastAsia="宋体" w:cs="Times New Roman"/>
                      <w:b w:val="0"/>
                      <w:color w:val="auto"/>
                      <w:sz w:val="21"/>
                      <w:szCs w:val="21"/>
                      <w:lang w:val="zh-CN" w:eastAsia="zh-CN"/>
                    </w:rPr>
                    <w:t>站区北侧设5</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危废间</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综合车间</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钢砼结构，尺寸规格</w:t>
                  </w:r>
                  <w:r>
                    <w:rPr>
                      <w:rFonts w:hint="default" w:ascii="Times New Roman" w:hAnsi="Times New Roman" w:eastAsia="宋体" w:cs="Times New Roman"/>
                      <w:bCs/>
                      <w:color w:val="auto"/>
                      <w:sz w:val="21"/>
                      <w:szCs w:val="21"/>
                      <w:lang w:val="en-US" w:eastAsia="zh-CN"/>
                    </w:rPr>
                    <w:t>21.04</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lang w:val="en-US" w:eastAsia="zh-CN"/>
                    </w:rPr>
                    <w:t>*43.2m</w:t>
                  </w:r>
                  <w:r>
                    <w:rPr>
                      <w:rFonts w:hint="default" w:ascii="Times New Roman" w:hAnsi="Times New Roman" w:eastAsia="宋体" w:cs="Times New Roman"/>
                      <w:bCs/>
                      <w:color w:val="auto"/>
                      <w:sz w:val="21"/>
                      <w:szCs w:val="21"/>
                    </w:rPr>
                    <w:t>，内设</w:t>
                  </w:r>
                  <w:r>
                    <w:rPr>
                      <w:rFonts w:hint="default" w:ascii="Times New Roman" w:hAnsi="Times New Roman" w:eastAsia="宋体" w:cs="Times New Roman"/>
                      <w:color w:val="auto"/>
                      <w:sz w:val="21"/>
                      <w:szCs w:val="21"/>
                    </w:rPr>
                    <w:t>一体化处理设备10套（15m³/h ，8.5m*3m*3</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m，2箱体一套），</w:t>
                  </w:r>
                  <w:r>
                    <w:rPr>
                      <w:rFonts w:hint="default" w:ascii="Times New Roman" w:hAnsi="Times New Roman" w:eastAsia="宋体" w:cs="Times New Roman"/>
                      <w:color w:val="auto"/>
                      <w:sz w:val="21"/>
                      <w:szCs w:val="21"/>
                      <w:lang w:eastAsia="zh-CN"/>
                    </w:rPr>
                    <w:t>及</w:t>
                  </w:r>
                  <w:r>
                    <w:rPr>
                      <w:rFonts w:hint="default" w:ascii="Times New Roman" w:hAnsi="Times New Roman" w:eastAsia="宋体" w:cs="Times New Roman"/>
                      <w:color w:val="auto"/>
                      <w:sz w:val="21"/>
                      <w:szCs w:val="21"/>
                      <w:lang w:val="en-US" w:eastAsia="zh-CN"/>
                    </w:rPr>
                    <w:t>1套清洗系统</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辅助</w:t>
                  </w:r>
                </w:p>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工程</w:t>
                  </w: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电控室</w:t>
                  </w:r>
                </w:p>
              </w:tc>
              <w:tc>
                <w:tcPr>
                  <w:tcW w:w="3462" w:type="pct"/>
                  <w:gridSpan w:val="2"/>
                  <w:tcBorders>
                    <w:tl2br w:val="nil"/>
                    <w:tr2bl w:val="nil"/>
                  </w:tcBorders>
                  <w:vAlign w:val="center"/>
                </w:tcPr>
                <w:p>
                  <w:pPr>
                    <w:pStyle w:val="6"/>
                    <w:keepNext w:val="0"/>
                    <w:keepLines w:val="0"/>
                    <w:pageBreakBefore w:val="0"/>
                    <w:widowControl w:val="0"/>
                    <w:kinsoku/>
                    <w:wordWrap/>
                    <w:overflowPunct/>
                    <w:topLinePunct w:val="0"/>
                    <w:bidi w:val="0"/>
                    <w:adjustRightInd/>
                    <w:snapToGrid/>
                    <w:spacing w:before="0" w:after="0" w:line="240" w:lineRule="auto"/>
                    <w:jc w:val="center"/>
                    <w:rPr>
                      <w:rFonts w:hint="default" w:ascii="Times New Roman" w:hAnsi="Times New Roman" w:eastAsia="宋体" w:cs="Times New Roman"/>
                      <w:b w:val="0"/>
                      <w:bCs/>
                      <w:color w:val="auto"/>
                      <w:kern w:val="2"/>
                      <w:sz w:val="21"/>
                      <w:szCs w:val="21"/>
                      <w:lang w:val="zh-CN" w:eastAsia="zh-CN" w:bidi="ar-SA"/>
                    </w:rPr>
                  </w:pPr>
                  <w:r>
                    <w:rPr>
                      <w:rFonts w:hint="default" w:ascii="Times New Roman" w:hAnsi="Times New Roman" w:eastAsia="宋体" w:cs="Times New Roman"/>
                      <w:b w:val="0"/>
                      <w:color w:val="auto"/>
                      <w:sz w:val="21"/>
                      <w:szCs w:val="21"/>
                      <w:lang w:val="zh-CN"/>
                    </w:rPr>
                    <w:t>钢结构，尺寸规格：</w:t>
                  </w:r>
                  <w:r>
                    <w:rPr>
                      <w:rFonts w:hint="default" w:ascii="Times New Roman" w:hAnsi="Times New Roman" w:eastAsia="宋体" w:cs="Times New Roman"/>
                      <w:b w:val="0"/>
                      <w:color w:val="auto"/>
                      <w:sz w:val="21"/>
                      <w:szCs w:val="21"/>
                      <w:lang w:val="en-US" w:eastAsia="zh-CN"/>
                    </w:rPr>
                    <w:t>6.96m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值班室</w:t>
                  </w:r>
                </w:p>
              </w:tc>
              <w:tc>
                <w:tcPr>
                  <w:tcW w:w="3462"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color w:val="auto"/>
                      <w:sz w:val="21"/>
                      <w:szCs w:val="21"/>
                      <w:lang w:val="zh-CN"/>
                    </w:rPr>
                  </w:pPr>
                  <w:r>
                    <w:rPr>
                      <w:rFonts w:hint="default" w:ascii="Times New Roman" w:hAnsi="Times New Roman" w:eastAsia="宋体" w:cs="Times New Roman"/>
                      <w:b w:val="0"/>
                      <w:color w:val="auto"/>
                      <w:sz w:val="21"/>
                      <w:szCs w:val="21"/>
                      <w:lang w:val="zh-CN"/>
                    </w:rPr>
                    <w:t>钢结构，尺寸规格：</w:t>
                  </w:r>
                  <w:r>
                    <w:rPr>
                      <w:rFonts w:hint="default" w:ascii="Times New Roman" w:hAnsi="Times New Roman" w:eastAsia="宋体" w:cs="Times New Roman"/>
                      <w:b w:val="0"/>
                      <w:color w:val="auto"/>
                      <w:sz w:val="21"/>
                      <w:szCs w:val="21"/>
                      <w:lang w:val="en-US" w:eastAsia="zh-CN"/>
                    </w:rPr>
                    <w:t>10.56m*4.4m</w:t>
                  </w:r>
                  <w:r>
                    <w:rPr>
                      <w:rFonts w:hint="default" w:ascii="Times New Roman" w:hAnsi="Times New Roman" w:eastAsia="宋体" w:cs="Times New Roman"/>
                      <w:b w:val="0"/>
                      <w:color w:val="auto"/>
                      <w:sz w:val="21"/>
                      <w:szCs w:val="21"/>
                      <w:lang w:val="zh-CN"/>
                    </w:rPr>
                    <w:t xml:space="preserve"> </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储物间</w:t>
                  </w:r>
                </w:p>
              </w:tc>
              <w:tc>
                <w:tcPr>
                  <w:tcW w:w="3462"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color w:val="auto"/>
                      <w:sz w:val="21"/>
                      <w:szCs w:val="21"/>
                      <w:lang w:val="zh-CN"/>
                    </w:rPr>
                  </w:pPr>
                  <w:r>
                    <w:rPr>
                      <w:rFonts w:hint="default" w:ascii="Times New Roman" w:hAnsi="Times New Roman" w:eastAsia="宋体" w:cs="Times New Roman"/>
                      <w:b w:val="0"/>
                      <w:color w:val="auto"/>
                      <w:sz w:val="21"/>
                      <w:szCs w:val="21"/>
                      <w:lang w:val="zh-CN"/>
                    </w:rPr>
                    <w:t>钢结构，尺寸规格：</w:t>
                  </w:r>
                  <w:r>
                    <w:rPr>
                      <w:rFonts w:hint="default" w:ascii="Times New Roman" w:hAnsi="Times New Roman" w:eastAsia="宋体" w:cs="Times New Roman"/>
                      <w:b w:val="0"/>
                      <w:color w:val="auto"/>
                      <w:sz w:val="21"/>
                      <w:szCs w:val="21"/>
                      <w:lang w:val="en-US" w:eastAsia="zh-CN"/>
                    </w:rPr>
                    <w:t>6.96m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公用</w:t>
                  </w:r>
                </w:p>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工程</w:t>
                  </w: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供电</w:t>
                  </w:r>
                </w:p>
              </w:tc>
              <w:tc>
                <w:tcPr>
                  <w:tcW w:w="3462"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项目用电由繁峙县供电局供给，</w:t>
                  </w:r>
                  <w:r>
                    <w:rPr>
                      <w:rFonts w:hint="default" w:ascii="Times New Roman" w:hAnsi="Times New Roman" w:eastAsia="宋体" w:cs="Times New Roman"/>
                      <w:color w:val="auto"/>
                      <w:sz w:val="21"/>
                      <w:szCs w:val="21"/>
                      <w:lang w:eastAsia="zh-CN"/>
                    </w:rPr>
                    <w:t>站区</w:t>
                  </w:r>
                  <w:r>
                    <w:rPr>
                      <w:rFonts w:hint="default" w:ascii="Times New Roman" w:hAnsi="Times New Roman" w:eastAsia="宋体" w:cs="Times New Roman"/>
                      <w:color w:val="auto"/>
                      <w:sz w:val="21"/>
                      <w:szCs w:val="21"/>
                    </w:rPr>
                    <w:t>设变压器一台</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供水</w:t>
                  </w:r>
                </w:p>
              </w:tc>
              <w:tc>
                <w:tcPr>
                  <w:tcW w:w="3462"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项目供水由供水系统提供，能够满足生产生活用水的需求。</w:t>
                  </w:r>
                </w:p>
              </w:tc>
              <w:tc>
                <w:tcPr>
                  <w:tcW w:w="38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供暖</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本项目供暖采用电采暖</w:t>
                  </w:r>
                </w:p>
              </w:tc>
              <w:tc>
                <w:tcPr>
                  <w:tcW w:w="38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w:t>
                  </w:r>
                </w:p>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保</w:t>
                  </w:r>
                </w:p>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w:t>
                  </w:r>
                </w:p>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程</w:t>
                  </w: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3462" w:type="pct"/>
                  <w:gridSpan w:val="2"/>
                  <w:tcBorders>
                    <w:tl2br w:val="nil"/>
                    <w:tr2bl w:val="nil"/>
                  </w:tcBorders>
                  <w:vAlign w:val="center"/>
                </w:tcPr>
                <w:p>
                  <w:pPr>
                    <w:pStyle w:val="73"/>
                    <w:keepNext w:val="0"/>
                    <w:keepLines w:val="0"/>
                    <w:pageBreakBefore w:val="0"/>
                    <w:widowControl w:val="0"/>
                    <w:kinsoku/>
                    <w:wordWrap/>
                    <w:overflowPunct/>
                    <w:topLinePunct w:val="0"/>
                    <w:autoSpaceDE w:val="0"/>
                    <w:autoSpaceDN w:val="0"/>
                    <w:bidi w:val="0"/>
                    <w:adjustRightInd/>
                    <w:snapToGrid/>
                    <w:spacing w:before="0" w:after="0"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恶臭防治：</w:t>
                  </w:r>
                  <w:r>
                    <w:rPr>
                      <w:rFonts w:hint="default" w:ascii="Times New Roman" w:hAnsi="Times New Roman" w:eastAsia="宋体" w:cs="Times New Roman"/>
                      <w:b w:val="0"/>
                      <w:color w:val="auto"/>
                      <w:sz w:val="21"/>
                      <w:szCs w:val="21"/>
                      <w:lang w:eastAsia="zh-CN"/>
                    </w:rPr>
                    <w:t>综合车间</w:t>
                  </w:r>
                  <w:r>
                    <w:rPr>
                      <w:rFonts w:hint="default" w:ascii="Times New Roman" w:hAnsi="Times New Roman" w:eastAsia="宋体" w:cs="Times New Roman"/>
                      <w:b w:val="0"/>
                      <w:color w:val="auto"/>
                      <w:sz w:val="21"/>
                      <w:szCs w:val="21"/>
                    </w:rPr>
                    <w:t>采用</w:t>
                  </w:r>
                  <w:r>
                    <w:rPr>
                      <w:rFonts w:hint="default" w:ascii="Times New Roman" w:hAnsi="Times New Roman" w:eastAsia="宋体" w:cs="Times New Roman"/>
                      <w:b w:val="0"/>
                      <w:color w:val="auto"/>
                      <w:sz w:val="21"/>
                      <w:szCs w:val="21"/>
                      <w:lang w:eastAsia="zh-CN"/>
                    </w:rPr>
                    <w:t>光氧活性炭一体机（</w:t>
                  </w:r>
                  <w:r>
                    <w:rPr>
                      <w:rFonts w:hint="default" w:ascii="Times New Roman" w:hAnsi="Times New Roman" w:eastAsia="宋体" w:cs="Times New Roman"/>
                      <w:b w:val="0"/>
                      <w:color w:val="auto"/>
                      <w:sz w:val="21"/>
                      <w:szCs w:val="21"/>
                      <w:lang w:val="en-US" w:eastAsia="zh-CN"/>
                    </w:rPr>
                    <w:t>UV光解+活性炭</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吸附</w:t>
                  </w:r>
                  <w:r>
                    <w:rPr>
                      <w:rFonts w:hint="default" w:ascii="Times New Roman" w:hAnsi="Times New Roman" w:eastAsia="宋体" w:cs="Times New Roman"/>
                      <w:b w:val="0"/>
                      <w:color w:val="auto"/>
                      <w:sz w:val="21"/>
                      <w:szCs w:val="21"/>
                      <w:lang w:eastAsia="zh-CN"/>
                    </w:rPr>
                    <w:t>后经</w:t>
                  </w:r>
                  <w:r>
                    <w:rPr>
                      <w:rFonts w:hint="default" w:ascii="Times New Roman" w:hAnsi="Times New Roman" w:eastAsia="宋体" w:cs="Times New Roman"/>
                      <w:b w:val="0"/>
                      <w:color w:val="auto"/>
                      <w:sz w:val="21"/>
                      <w:szCs w:val="21"/>
                      <w:lang w:val="en-US" w:eastAsia="zh-CN"/>
                    </w:rPr>
                    <w:t>15m排气筒排放</w:t>
                  </w:r>
                  <w:r>
                    <w:rPr>
                      <w:rFonts w:hint="default" w:ascii="Times New Roman" w:hAnsi="Times New Roman" w:eastAsia="宋体" w:cs="Times New Roman"/>
                      <w:b w:val="0"/>
                      <w:color w:val="auto"/>
                      <w:sz w:val="21"/>
                      <w:szCs w:val="21"/>
                    </w:rPr>
                    <w:t>；格栅</w:t>
                  </w:r>
                  <w:r>
                    <w:rPr>
                      <w:rFonts w:hint="default" w:ascii="Times New Roman" w:hAnsi="Times New Roman" w:eastAsia="宋体" w:cs="Times New Roman"/>
                      <w:b w:val="0"/>
                      <w:color w:val="auto"/>
                      <w:sz w:val="21"/>
                      <w:szCs w:val="21"/>
                      <w:lang w:eastAsia="zh-CN"/>
                    </w:rPr>
                    <w:t>机、压滤机等</w:t>
                  </w:r>
                  <w:r>
                    <w:rPr>
                      <w:rFonts w:hint="default" w:ascii="Times New Roman" w:hAnsi="Times New Roman" w:eastAsia="宋体" w:cs="Times New Roman"/>
                      <w:b w:val="0"/>
                      <w:color w:val="auto"/>
                      <w:sz w:val="21"/>
                      <w:szCs w:val="21"/>
                    </w:rPr>
                    <w:t>设于建筑物内，设置排风机换气；</w:t>
                  </w:r>
                  <w:r>
                    <w:rPr>
                      <w:rFonts w:hint="default" w:ascii="Times New Roman" w:hAnsi="Times New Roman" w:eastAsia="宋体" w:cs="Times New Roman"/>
                      <w:b w:val="0"/>
                      <w:color w:val="auto"/>
                      <w:sz w:val="21"/>
                      <w:szCs w:val="21"/>
                      <w:lang w:eastAsia="zh-CN"/>
                    </w:rPr>
                    <w:t>各类池体均加盖处理；</w:t>
                  </w:r>
                  <w:r>
                    <w:rPr>
                      <w:rFonts w:hint="default" w:ascii="Times New Roman" w:hAnsi="Times New Roman" w:eastAsia="宋体" w:cs="Times New Roman"/>
                      <w:b w:val="0"/>
                      <w:color w:val="auto"/>
                      <w:sz w:val="21"/>
                      <w:szCs w:val="21"/>
                    </w:rPr>
                    <w:t>加强日常运行管理、加强绿化、确保满足卫生防护距离的要求</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w:t>
                  </w:r>
                </w:p>
              </w:tc>
              <w:tc>
                <w:tcPr>
                  <w:tcW w:w="853"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职工生活污水</w:t>
                  </w:r>
                </w:p>
              </w:tc>
              <w:tc>
                <w:tcPr>
                  <w:tcW w:w="2609"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生活污水与来水一并进入污水处理系统处理</w:t>
                  </w:r>
                </w:p>
              </w:tc>
              <w:tc>
                <w:tcPr>
                  <w:tcW w:w="38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853"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生活污水应急处理站尾水</w:t>
                  </w:r>
                </w:p>
              </w:tc>
              <w:tc>
                <w:tcPr>
                  <w:tcW w:w="2609"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经污水处理系统处理达标后排入</w:t>
                  </w:r>
                  <w:r>
                    <w:rPr>
                      <w:rFonts w:hint="default" w:ascii="Times New Roman" w:hAnsi="Times New Roman" w:eastAsia="宋体" w:cs="Times New Roman"/>
                      <w:color w:val="auto"/>
                      <w:sz w:val="21"/>
                      <w:szCs w:val="21"/>
                    </w:rPr>
                    <w:t>滹沱河</w:t>
                  </w:r>
                </w:p>
              </w:tc>
              <w:tc>
                <w:tcPr>
                  <w:tcW w:w="38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固废</w:t>
                  </w:r>
                </w:p>
              </w:tc>
              <w:tc>
                <w:tcPr>
                  <w:tcW w:w="85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职工生活垃圾</w:t>
                  </w:r>
                </w:p>
              </w:tc>
              <w:tc>
                <w:tcPr>
                  <w:tcW w:w="260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经收集装置收集后委托环卫部门统一处理</w:t>
                  </w:r>
                </w:p>
              </w:tc>
              <w:tc>
                <w:tcPr>
                  <w:tcW w:w="38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85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格栅渣</w:t>
                  </w:r>
                </w:p>
              </w:tc>
              <w:tc>
                <w:tcPr>
                  <w:tcW w:w="260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rPr>
                    <w:t>经收集装置收集后委托环卫部门统一处理</w:t>
                  </w:r>
                </w:p>
              </w:tc>
              <w:tc>
                <w:tcPr>
                  <w:tcW w:w="38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85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rPr>
                    <w:t>污泥</w:t>
                  </w:r>
                </w:p>
              </w:tc>
              <w:tc>
                <w:tcPr>
                  <w:tcW w:w="260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iCs/>
                      <w:color w:val="auto"/>
                      <w:sz w:val="21"/>
                      <w:szCs w:val="21"/>
                      <w:lang w:eastAsia="zh-CN"/>
                    </w:rPr>
                  </w:pPr>
                  <w:r>
                    <w:rPr>
                      <w:rFonts w:hint="default" w:ascii="Times New Roman" w:hAnsi="Times New Roman" w:eastAsia="宋体" w:cs="Times New Roman"/>
                      <w:color w:val="auto"/>
                      <w:sz w:val="21"/>
                      <w:szCs w:val="21"/>
                    </w:rPr>
                    <w:t>污泥脱水采用叠螺式脱水机，经浓缩脱水的污泥外运做</w:t>
                  </w:r>
                  <w:r>
                    <w:rPr>
                      <w:rFonts w:hint="default" w:ascii="Times New Roman" w:hAnsi="Times New Roman" w:eastAsia="宋体" w:cs="Times New Roman"/>
                      <w:color w:val="auto"/>
                      <w:sz w:val="21"/>
                      <w:szCs w:val="21"/>
                      <w:lang w:eastAsia="zh-CN"/>
                    </w:rPr>
                    <w:t>至生活垃圾填埋场</w:t>
                  </w:r>
                </w:p>
              </w:tc>
              <w:tc>
                <w:tcPr>
                  <w:tcW w:w="38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85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iCs/>
                      <w:color w:val="auto"/>
                      <w:sz w:val="21"/>
                      <w:szCs w:val="21"/>
                      <w:lang w:val="en-US" w:eastAsia="zh-CN"/>
                    </w:rPr>
                    <w:t>废活性炭</w:t>
                  </w:r>
                </w:p>
              </w:tc>
              <w:tc>
                <w:tcPr>
                  <w:tcW w:w="2609"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设</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危险废物暂存间暂存，定期交由资质单位处置</w:t>
                  </w:r>
                </w:p>
              </w:tc>
              <w:tc>
                <w:tcPr>
                  <w:tcW w:w="386" w:type="pct"/>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853"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iCs/>
                      <w:color w:val="auto"/>
                      <w:sz w:val="21"/>
                      <w:szCs w:val="21"/>
                      <w:lang w:val="en-US" w:eastAsia="zh-CN"/>
                    </w:rPr>
                    <w:t>废紫外线灯管</w:t>
                  </w:r>
                </w:p>
              </w:tc>
              <w:tc>
                <w:tcPr>
                  <w:tcW w:w="2609"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default" w:ascii="Times New Roman" w:hAnsi="Times New Roman" w:eastAsia="宋体" w:cs="Times New Roman"/>
                      <w:color w:val="auto"/>
                      <w:sz w:val="21"/>
                      <w:szCs w:val="21"/>
                      <w:lang w:val="en-US" w:eastAsia="zh-CN"/>
                    </w:rPr>
                  </w:pPr>
                </w:p>
              </w:tc>
              <w:tc>
                <w:tcPr>
                  <w:tcW w:w="38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bidi="zh-CN"/>
                    </w:rPr>
                    <w:t>选用低噪设备、基础减振、厂房隔声和距离衰减</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p>
              </w:tc>
              <w:tc>
                <w:tcPr>
                  <w:tcW w:w="755"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绿化</w:t>
                  </w:r>
                </w:p>
              </w:tc>
              <w:tc>
                <w:tcPr>
                  <w:tcW w:w="3462" w:type="pct"/>
                  <w:gridSpan w:val="2"/>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生活污水应急处理站绿化面积达1000㎡</w:t>
                  </w:r>
                </w:p>
              </w:tc>
              <w:tc>
                <w:tcPr>
                  <w:tcW w:w="386" w:type="pc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新建</w:t>
                  </w: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 xml:space="preserve">4  </w:t>
            </w:r>
            <w:r>
              <w:rPr>
                <w:rFonts w:hint="default" w:ascii="Times New Roman" w:hAnsi="Times New Roman" w:eastAsia="宋体" w:cs="Times New Roman"/>
                <w:b/>
                <w:bCs/>
                <w:color w:val="auto"/>
                <w:sz w:val="24"/>
              </w:rPr>
              <w:t>主要建、构筑物一览表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71"/>
              <w:gridCol w:w="2800"/>
              <w:gridCol w:w="1071"/>
              <w:gridCol w:w="1071"/>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120"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尺寸或容积</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格栅间</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5.56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2.03</w:t>
                  </w:r>
                  <w:r>
                    <w:rPr>
                      <w:rFonts w:hint="default" w:ascii="Times New Roman" w:hAnsi="Times New Roman" w:eastAsia="宋体" w:cs="Times New Roman"/>
                      <w:color w:val="auto"/>
                      <w:sz w:val="21"/>
                      <w:szCs w:val="21"/>
                    </w:rPr>
                    <w:t>m</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座</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新建</w:t>
                  </w:r>
                  <w:r>
                    <w:rPr>
                      <w:rFonts w:hint="default" w:ascii="Times New Roman" w:hAnsi="Times New Roman" w:eastAsia="宋体" w:cs="Times New Roman"/>
                      <w:color w:val="auto"/>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调节池</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Cs/>
                      <w:color w:val="auto"/>
                      <w:sz w:val="21"/>
                      <w:szCs w:val="21"/>
                    </w:rPr>
                    <w:t>12</w:t>
                  </w:r>
                  <w:r>
                    <w:rPr>
                      <w:rFonts w:hint="default" w:ascii="Times New Roman" w:hAnsi="Times New Roman" w:eastAsia="宋体" w:cs="Times New Roman"/>
                      <w:bCs/>
                      <w:color w:val="auto"/>
                      <w:sz w:val="21"/>
                      <w:szCs w:val="21"/>
                      <w:lang w:val="en-US" w:eastAsia="zh-CN"/>
                    </w:rPr>
                    <w:t>.0m</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10.0m</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新建</w:t>
                  </w:r>
                  <w:r>
                    <w:rPr>
                      <w:rFonts w:hint="default" w:ascii="Times New Roman" w:hAnsi="Times New Roman" w:eastAsia="宋体" w:cs="Times New Roman"/>
                      <w:color w:val="auto"/>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清水池</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val="0"/>
                      <w:color w:val="auto"/>
                      <w:kern w:val="0"/>
                      <w:sz w:val="21"/>
                      <w:szCs w:val="21"/>
                      <w:lang w:val="zh-CN" w:eastAsia="zh-CN" w:bidi="ar-SA"/>
                    </w:rPr>
                  </w:pPr>
                  <w:r>
                    <w:rPr>
                      <w:rFonts w:hint="default" w:ascii="Times New Roman" w:hAnsi="Times New Roman" w:eastAsia="宋体" w:cs="Times New Roman"/>
                      <w:b w:val="0"/>
                      <w:color w:val="auto"/>
                      <w:sz w:val="21"/>
                      <w:szCs w:val="21"/>
                      <w:lang w:val="en-US" w:eastAsia="zh-CN"/>
                    </w:rPr>
                    <w:t>10.0m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5m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m³</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4</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中间水池</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lang w:val="zh-CN"/>
                    </w:rPr>
                    <w:t>5</w:t>
                  </w:r>
                  <w:r>
                    <w:rPr>
                      <w:rFonts w:hint="default" w:ascii="Times New Roman" w:hAnsi="Times New Roman" w:eastAsia="宋体" w:cs="Times New Roman"/>
                      <w:b w:val="0"/>
                      <w:color w:val="auto"/>
                      <w:sz w:val="21"/>
                      <w:szCs w:val="21"/>
                      <w:lang w:val="en-US" w:eastAsia="zh-CN"/>
                    </w:rPr>
                    <w:t>.0m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4.85m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新建</w:t>
                  </w:r>
                  <w:r>
                    <w:rPr>
                      <w:rFonts w:hint="default" w:ascii="Times New Roman" w:hAnsi="Times New Roman" w:eastAsia="宋体" w:cs="Times New Roman"/>
                      <w:color w:val="auto"/>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5</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污泥池</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color w:val="auto"/>
                      <w:sz w:val="21"/>
                      <w:szCs w:val="21"/>
                      <w:lang w:val="zh-CN"/>
                    </w:rPr>
                    <w:t>5</w:t>
                  </w:r>
                  <w:r>
                    <w:rPr>
                      <w:rFonts w:hint="default" w:ascii="Times New Roman" w:hAnsi="Times New Roman" w:eastAsia="宋体" w:cs="Times New Roman"/>
                      <w:b w:val="0"/>
                      <w:color w:val="auto"/>
                      <w:sz w:val="21"/>
                      <w:szCs w:val="21"/>
                      <w:lang w:val="en-US" w:eastAsia="zh-CN"/>
                    </w:rPr>
                    <w:t>.0m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4.85m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m³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r>
                    <w:rPr>
                      <w:rFonts w:hint="default" w:ascii="Times New Roman" w:hAnsi="Times New Roman" w:eastAsia="宋体" w:cs="Times New Roman"/>
                      <w:color w:val="auto"/>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6</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压滤间</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lang w:val="en-US" w:eastAsia="zh-CN"/>
                    </w:rPr>
                    <w:t>10.825m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7</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加药间</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color w:val="auto"/>
                      <w:sz w:val="21"/>
                      <w:szCs w:val="21"/>
                      <w:lang w:val="en-US" w:eastAsia="zh-CN"/>
                    </w:rPr>
                    <w:t>6.96m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泵房</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10.56m*2.49m</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值班室</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10.56m*4.4m</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事故池</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375m³</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风机房</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lang w:val="en-US" w:eastAsia="zh-CN"/>
                    </w:rPr>
                    <w:t>21.04m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6.83m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新建</w:t>
                  </w:r>
                  <w:r>
                    <w:rPr>
                      <w:rFonts w:hint="default" w:ascii="Times New Roman" w:hAnsi="Times New Roman" w:eastAsia="宋体" w:cs="Times New Roman"/>
                      <w:color w:val="auto"/>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危险废物暂存间</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color w:val="auto"/>
                      <w:sz w:val="21"/>
                      <w:szCs w:val="21"/>
                      <w:lang w:val="en-US" w:eastAsia="zh-CN"/>
                    </w:rPr>
                    <w:t>5</w:t>
                  </w:r>
                  <w:r>
                    <w:rPr>
                      <w:rFonts w:hint="default" w:ascii="Times New Roman" w:hAnsi="Times New Roman" w:eastAsia="宋体" w:cs="Times New Roman"/>
                      <w:bCs/>
                      <w:color w:val="auto"/>
                      <w:sz w:val="21"/>
                      <w:szCs w:val="21"/>
                    </w:rPr>
                    <w:t>㎡</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综合车间</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lang w:val="en-US" w:eastAsia="zh-CN"/>
                    </w:rPr>
                    <w:t>21.04</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lang w:val="en-US" w:eastAsia="zh-CN"/>
                    </w:rPr>
                    <w:t>*43.2m</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项</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r>
                    <w:rPr>
                      <w:rFonts w:hint="default" w:ascii="Times New Roman" w:hAnsi="Times New Roman" w:eastAsia="宋体" w:cs="Times New Roman"/>
                      <w:color w:val="auto"/>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电控室</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color w:val="auto"/>
                      <w:sz w:val="21"/>
                      <w:szCs w:val="21"/>
                      <w:lang w:val="en-US" w:eastAsia="zh-CN"/>
                    </w:rPr>
                    <w:t>6.96m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120" w:type="pct"/>
                  <w:tcBorders>
                    <w:tl2br w:val="nil"/>
                    <w:tr2bl w:val="nil"/>
                  </w:tcBorders>
                  <w:shd w:val="clear" w:color="auto" w:fill="auto"/>
                  <w:noWrap/>
                  <w:vAlign w:val="center"/>
                </w:tcPr>
                <w:p>
                  <w:pPr>
                    <w:pStyle w:val="31"/>
                    <w:autoSpaceDE w:val="0"/>
                    <w:autoSpaceDN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储物间</w:t>
                  </w:r>
                </w:p>
              </w:tc>
              <w:tc>
                <w:tcPr>
                  <w:tcW w:w="1514"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color w:val="auto"/>
                      <w:sz w:val="21"/>
                      <w:szCs w:val="21"/>
                      <w:lang w:val="en-US" w:eastAsia="zh-CN"/>
                    </w:rPr>
                    <w:t>6.96m</w:t>
                  </w:r>
                  <w:r>
                    <w:rPr>
                      <w:rFonts w:hint="default" w:ascii="Times New Roman" w:hAnsi="Times New Roman" w:eastAsia="宋体" w:cs="Times New Roman"/>
                      <w:b w:val="0"/>
                      <w:color w:val="auto"/>
                      <w:sz w:val="21"/>
                      <w:szCs w:val="21"/>
                      <w:lang w:val="zh-CN"/>
                    </w:rPr>
                    <w:t>*</w:t>
                  </w:r>
                  <w:r>
                    <w:rPr>
                      <w:rFonts w:hint="default" w:ascii="Times New Roman" w:hAnsi="Times New Roman" w:eastAsia="宋体" w:cs="Times New Roman"/>
                      <w:b w:val="0"/>
                      <w:color w:val="auto"/>
                      <w:sz w:val="21"/>
                      <w:szCs w:val="21"/>
                      <w:lang w:val="en-US" w:eastAsia="zh-CN"/>
                    </w:rPr>
                    <w:t>7.13m</w:t>
                  </w:r>
                  <w:r>
                    <w:rPr>
                      <w:rFonts w:hint="default" w:ascii="Times New Roman" w:hAnsi="Times New Roman" w:eastAsia="宋体" w:cs="Times New Roman"/>
                      <w:b w:val="0"/>
                      <w:color w:val="auto"/>
                      <w:sz w:val="21"/>
                      <w:szCs w:val="21"/>
                      <w:lang w:val="zh-CN"/>
                    </w:rPr>
                    <w:t xml:space="preserve"> </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间</w:t>
                  </w:r>
                </w:p>
              </w:tc>
              <w:tc>
                <w:tcPr>
                  <w:tcW w:w="579"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28" w:type="pct"/>
                  <w:tcBorders>
                    <w:tl2br w:val="nil"/>
                    <w:tr2bl w:val="nil"/>
                  </w:tcBorders>
                  <w:shd w:val="clear" w:color="auto" w:fill="auto"/>
                  <w:noWrap/>
                  <w:vAlign w:val="center"/>
                </w:tcPr>
                <w:p>
                  <w:pPr>
                    <w:pStyle w:val="199"/>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rPr>
                    <w:t>新建</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（2）污水处理规模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繁峙县现有污水处理厂规模为1.5万m³/d。根据</w:t>
            </w:r>
            <w:r>
              <w:rPr>
                <w:rFonts w:hint="default"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rPr>
              <w:t>人口数量及</w:t>
            </w:r>
            <w:r>
              <w:rPr>
                <w:rFonts w:hint="default" w:ascii="Times New Roman" w:hAnsi="Times New Roman" w:eastAsia="宋体" w:cs="Times New Roman"/>
                <w:color w:val="auto"/>
                <w:sz w:val="24"/>
                <w:szCs w:val="24"/>
                <w:lang w:eastAsia="zh-CN"/>
              </w:rPr>
              <w:t>其</w:t>
            </w:r>
            <w:r>
              <w:rPr>
                <w:rFonts w:hint="default" w:ascii="Times New Roman" w:hAnsi="Times New Roman" w:eastAsia="宋体" w:cs="Times New Roman"/>
                <w:color w:val="auto"/>
                <w:sz w:val="24"/>
                <w:szCs w:val="24"/>
              </w:rPr>
              <w:t>增长趋势，确定目前建设生活污水应急处理站设计总规模为3000m³/d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若以后人口增长，生活污水应急处理站超负荷后，再在</w:t>
            </w:r>
            <w:r>
              <w:rPr>
                <w:rFonts w:hint="default" w:ascii="Times New Roman" w:hAnsi="Times New Roman" w:eastAsia="宋体" w:cs="Times New Roman"/>
                <w:color w:val="auto"/>
                <w:sz w:val="24"/>
                <w:szCs w:val="24"/>
                <w:lang w:eastAsia="zh-CN"/>
              </w:rPr>
              <w:t>此</w:t>
            </w:r>
            <w:r>
              <w:rPr>
                <w:rFonts w:hint="default" w:ascii="Times New Roman" w:hAnsi="Times New Roman" w:eastAsia="宋体" w:cs="Times New Roman"/>
                <w:color w:val="auto"/>
                <w:sz w:val="24"/>
                <w:szCs w:val="24"/>
              </w:rPr>
              <w:t>基础上进行扩建，由于附近空余面积很大，扩建非常容易。</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1.3.3原辅材料及能源消耗表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本项目建成后主要辅料为加药间使用的药剂。</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eastAsia="zh-CN"/>
              </w:rPr>
              <w:t>主要原辅材料消耗汇总</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3045"/>
              <w:gridCol w:w="3060"/>
              <w:gridCol w:w="2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6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主要原辅材料名称</w:t>
                  </w:r>
                </w:p>
              </w:tc>
              <w:tc>
                <w:tcPr>
                  <w:tcW w:w="1655"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年消耗量</w:t>
                  </w:r>
                </w:p>
              </w:tc>
              <w:tc>
                <w:tcPr>
                  <w:tcW w:w="113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6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次氯酸钠</w:t>
                  </w:r>
                </w:p>
              </w:tc>
              <w:tc>
                <w:tcPr>
                  <w:tcW w:w="1655"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w:t>
                  </w:r>
                </w:p>
              </w:tc>
              <w:tc>
                <w:tcPr>
                  <w:tcW w:w="113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柠檬酸</w:t>
                  </w:r>
                </w:p>
              </w:tc>
              <w:tc>
                <w:tcPr>
                  <w:tcW w:w="1655"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113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袋装粉状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PAC</w:t>
                  </w:r>
                </w:p>
              </w:tc>
              <w:tc>
                <w:tcPr>
                  <w:tcW w:w="1655"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3.65</w:t>
                  </w:r>
                </w:p>
              </w:tc>
              <w:tc>
                <w:tcPr>
                  <w:tcW w:w="113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袋装粉状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碳源</w:t>
                  </w:r>
                </w:p>
              </w:tc>
              <w:tc>
                <w:tcPr>
                  <w:tcW w:w="1655"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6.08</w:t>
                  </w:r>
                </w:p>
              </w:tc>
              <w:tc>
                <w:tcPr>
                  <w:tcW w:w="113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袋装粉状</w:t>
                  </w:r>
                </w:p>
              </w:tc>
            </w:tr>
          </w:tbl>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1.3.3主要设备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本项目主要设备均为新建，具体见表1-</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工程主要设备表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277"/>
              <w:gridCol w:w="3601"/>
              <w:gridCol w:w="647"/>
              <w:gridCol w:w="706"/>
              <w:gridCol w:w="1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工程及费用名称</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规格型号</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格栅及提升泵房</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细格栅</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eastAsia="zh-CN"/>
                    </w:rPr>
                    <w:t>渠深</w:t>
                  </w:r>
                  <w:r>
                    <w:rPr>
                      <w:rFonts w:hint="default" w:ascii="Times New Roman" w:hAnsi="Times New Roman" w:eastAsia="宋体" w:cs="Times New Roman"/>
                      <w:bCs/>
                      <w:color w:val="auto"/>
                      <w:sz w:val="21"/>
                      <w:szCs w:val="21"/>
                      <w:lang w:val="en-US" w:eastAsia="zh-CN"/>
                    </w:rPr>
                    <w:t>800mm渠宽700m</w:t>
                  </w:r>
                  <w:r>
                    <w:rPr>
                      <w:rFonts w:hint="default" w:ascii="Times New Roman" w:hAnsi="Times New Roman" w:eastAsia="宋体" w:cs="Times New Roman"/>
                      <w:bCs/>
                      <w:color w:val="auto"/>
                      <w:sz w:val="21"/>
                      <w:szCs w:val="21"/>
                    </w:rPr>
                    <w:t>，栅隙</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mm，N=</w:t>
                  </w:r>
                  <w:r>
                    <w:rPr>
                      <w:rFonts w:hint="default" w:ascii="Times New Roman" w:hAnsi="Times New Roman" w:eastAsia="宋体" w:cs="Times New Roman"/>
                      <w:bCs/>
                      <w:color w:val="auto"/>
                      <w:sz w:val="21"/>
                      <w:szCs w:val="21"/>
                      <w:lang w:val="en-US" w:eastAsia="zh-CN"/>
                    </w:rPr>
                    <w:t>0.37</w:t>
                  </w:r>
                  <w:r>
                    <w:rPr>
                      <w:rFonts w:hint="default" w:ascii="Times New Roman" w:hAnsi="Times New Roman" w:eastAsia="宋体" w:cs="Times New Roman"/>
                      <w:bCs/>
                      <w:color w:val="auto"/>
                      <w:sz w:val="21"/>
                      <w:szCs w:val="21"/>
                    </w:rPr>
                    <w:t>kW</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污水提升泵</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Q=75m³/h，H=17m，N=7.5kW</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变频控制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栅渣小车</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辆</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综合车间</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一体化处理设备</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15m³/h ，8.5m*3m*3</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m，2箱体一套</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污泥泵回流泵</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Q=12m³/h，H=15m，N=0.75kw</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2用2备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清洗系统</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加药</w:t>
                  </w:r>
                  <w:r>
                    <w:rPr>
                      <w:rFonts w:hint="default" w:ascii="Times New Roman" w:hAnsi="Times New Roman" w:eastAsia="宋体" w:cs="Times New Roman"/>
                      <w:color w:val="auto"/>
                      <w:sz w:val="21"/>
                      <w:szCs w:val="21"/>
                    </w:rPr>
                    <w:t>间</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加药桶</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PE-5000L</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压滤间</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污泥混合池</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1m³</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叠螺脱水机</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301型</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污泥螺杆泵</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Q=15m³/h，H=20m</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絮凝剂（干粉）投加装置</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1500m</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无轴螺旋输送机（水平安装）</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φ260，L=4.50m</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鼓风机房</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曝气风机</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罗茨鼓风机Q=10.58m³/h，P=0.7bar,N=15kw</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除臭系统</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0000m³/h</w:t>
                  </w: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光氧活性炭一体机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其他设备、管道</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工艺管道、给排水管道</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电气系统</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1"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自控系统</w:t>
                  </w:r>
                </w:p>
              </w:tc>
              <w:tc>
                <w:tcPr>
                  <w:tcW w:w="194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50"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c>
                <w:tcPr>
                  <w:tcW w:w="382"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7" w:type="pct"/>
                  <w:tcBorders>
                    <w:tl2br w:val="nil"/>
                    <w:tr2bl w:val="nil"/>
                  </w:tcBorders>
                  <w:shd w:val="clear" w:color="auto" w:fill="auto"/>
                  <w:vAlign w:val="center"/>
                </w:tcPr>
                <w:p>
                  <w:pPr>
                    <w:pStyle w:val="199"/>
                    <w:spacing w:line="240" w:lineRule="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1.4公用工程</w:t>
            </w:r>
          </w:p>
          <w:p>
            <w:pPr>
              <w:keepNext w:val="0"/>
              <w:keepLines w:val="0"/>
              <w:pageBreakBefore w:val="0"/>
              <w:widowControl w:val="0"/>
              <w:tabs>
                <w:tab w:val="left" w:pos="720"/>
                <w:tab w:val="left" w:pos="900"/>
              </w:tabs>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spacing w:val="2"/>
                <w:sz w:val="24"/>
                <w:szCs w:val="20"/>
              </w:rPr>
            </w:pPr>
            <w:r>
              <w:rPr>
                <w:rFonts w:hint="default" w:ascii="Times New Roman" w:hAnsi="Times New Roman" w:eastAsia="宋体" w:cs="Times New Roman"/>
                <w:b/>
                <w:bCs/>
                <w:color w:val="auto"/>
                <w:spacing w:val="2"/>
                <w:sz w:val="24"/>
                <w:szCs w:val="20"/>
              </w:rPr>
              <w:t>1.4.1给排水</w:t>
            </w:r>
          </w:p>
          <w:p>
            <w:pPr>
              <w:keepNext w:val="0"/>
              <w:keepLines w:val="0"/>
              <w:pageBreakBefore w:val="0"/>
              <w:widowControl w:val="0"/>
              <w:numPr>
                <w:ilvl w:val="0"/>
                <w:numId w:val="2"/>
              </w:numPr>
              <w:tabs>
                <w:tab w:val="left" w:pos="720"/>
                <w:tab w:val="left" w:pos="900"/>
              </w:tabs>
              <w:kinsoku/>
              <w:wordWrap/>
              <w:overflowPunct/>
              <w:topLinePunct w:val="0"/>
              <w:autoSpaceDE/>
              <w:autoSpaceDN/>
              <w:bidi w:val="0"/>
              <w:adjustRightInd/>
              <w:snapToGrid/>
              <w:spacing w:line="480" w:lineRule="exact"/>
              <w:ind w:firstLine="488" w:firstLineChars="200"/>
              <w:jc w:val="left"/>
              <w:textAlignment w:val="auto"/>
              <w:rPr>
                <w:rFonts w:hint="default" w:ascii="Times New Roman" w:hAnsi="Times New Roman" w:eastAsia="宋体" w:cs="Times New Roman"/>
                <w:color w:val="auto"/>
                <w:spacing w:val="2"/>
                <w:sz w:val="24"/>
                <w:szCs w:val="20"/>
              </w:rPr>
            </w:pPr>
            <w:r>
              <w:rPr>
                <w:rFonts w:hint="default" w:ascii="Times New Roman" w:hAnsi="Times New Roman" w:eastAsia="宋体" w:cs="Times New Roman"/>
                <w:color w:val="auto"/>
                <w:spacing w:val="2"/>
                <w:sz w:val="24"/>
                <w:szCs w:val="20"/>
              </w:rPr>
              <w:t>水源</w:t>
            </w:r>
          </w:p>
          <w:p>
            <w:pPr>
              <w:keepNext w:val="0"/>
              <w:keepLines w:val="0"/>
              <w:pageBreakBefore w:val="0"/>
              <w:widowControl w:val="0"/>
              <w:tabs>
                <w:tab w:val="left" w:pos="720"/>
                <w:tab w:val="left" w:pos="900"/>
              </w:tabs>
              <w:kinsoku/>
              <w:wordWrap/>
              <w:overflowPunct/>
              <w:topLinePunct w:val="0"/>
              <w:autoSpaceDE/>
              <w:autoSpaceDN/>
              <w:bidi w:val="0"/>
              <w:adjustRightInd/>
              <w:snapToGrid/>
              <w:spacing w:line="480" w:lineRule="exact"/>
              <w:ind w:firstLine="488" w:firstLineChars="200"/>
              <w:jc w:val="left"/>
              <w:textAlignment w:val="auto"/>
              <w:rPr>
                <w:rFonts w:hint="default" w:ascii="Times New Roman" w:hAnsi="Times New Roman" w:eastAsia="宋体" w:cs="Times New Roman"/>
                <w:color w:val="auto"/>
                <w:spacing w:val="2"/>
                <w:sz w:val="24"/>
                <w:szCs w:val="20"/>
              </w:rPr>
            </w:pPr>
            <w:r>
              <w:rPr>
                <w:rFonts w:hint="default" w:ascii="Times New Roman" w:hAnsi="Times New Roman" w:eastAsia="宋体" w:cs="Times New Roman"/>
                <w:color w:val="auto"/>
                <w:spacing w:val="2"/>
                <w:sz w:val="24"/>
                <w:szCs w:val="20"/>
              </w:rPr>
              <w:t>项目供水由供水系统提供，能够满足生产生活用水的需求。</w:t>
            </w:r>
          </w:p>
          <w:p>
            <w:pPr>
              <w:keepNext w:val="0"/>
              <w:keepLines w:val="0"/>
              <w:pageBreakBefore w:val="0"/>
              <w:widowControl w:val="0"/>
              <w:tabs>
                <w:tab w:val="left" w:pos="720"/>
                <w:tab w:val="left" w:pos="900"/>
              </w:tabs>
              <w:kinsoku/>
              <w:wordWrap/>
              <w:overflowPunct/>
              <w:topLinePunct w:val="0"/>
              <w:autoSpaceDE/>
              <w:autoSpaceDN/>
              <w:bidi w:val="0"/>
              <w:adjustRightInd/>
              <w:snapToGrid/>
              <w:spacing w:line="480" w:lineRule="exact"/>
              <w:ind w:firstLine="488"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2"/>
                <w:sz w:val="24"/>
                <w:szCs w:val="20"/>
              </w:rPr>
              <w:t>（2）用水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生活用水：本项目共20人，生活用水按照15L/人·d，用水量约为0.3m³/d（109.5m³/a）。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加药用水：本项目</w:t>
            </w:r>
            <w:r>
              <w:rPr>
                <w:rFonts w:hint="default" w:ascii="Times New Roman" w:hAnsi="Times New Roman" w:eastAsia="宋体" w:cs="Times New Roman"/>
                <w:color w:val="auto"/>
                <w:spacing w:val="2"/>
                <w:sz w:val="24"/>
                <w:szCs w:val="20"/>
              </w:rPr>
              <w:t>加药用水为0.2m³/d，用水量为73m³/a。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绿化用水：</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kern w:val="0"/>
                <w:sz w:val="24"/>
              </w:rPr>
              <w:t>绿化面积为1000㎡，用水以0.28m³/㎡·a计算，绿化用水为非采暖期，则绿化用水为280m³/a。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本工程运营期给排水情况见表1-</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，本项目水平衡图见图1-1。</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rPr>
              <w:t xml:space="preserve">  全厂用排水情况一览表</w:t>
            </w:r>
          </w:p>
          <w:tbl>
            <w:tblPr>
              <w:tblStyle w:val="77"/>
              <w:tblW w:w="92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3"/>
              <w:gridCol w:w="1356"/>
              <w:gridCol w:w="885"/>
              <w:gridCol w:w="945"/>
              <w:gridCol w:w="1200"/>
              <w:gridCol w:w="1335"/>
              <w:gridCol w:w="1515"/>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dxa"/>
                  <w:tcBorders>
                    <w:top w:val="single" w:color="auto" w:sz="12" w:space="0"/>
                    <w:left w:val="nil"/>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用水项目</w:t>
                  </w:r>
                </w:p>
              </w:tc>
              <w:tc>
                <w:tcPr>
                  <w:tcW w:w="1356" w:type="dxa"/>
                  <w:tcBorders>
                    <w:top w:val="single" w:color="auto" w:sz="12"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用水定额</w:t>
                  </w:r>
                </w:p>
              </w:tc>
              <w:tc>
                <w:tcPr>
                  <w:tcW w:w="885" w:type="dxa"/>
                  <w:tcBorders>
                    <w:top w:val="single" w:color="auto" w:sz="12"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945" w:type="dxa"/>
                  <w:tcBorders>
                    <w:top w:val="single" w:color="auto" w:sz="12"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用水量</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200" w:type="dxa"/>
                  <w:tcBorders>
                    <w:top w:val="single" w:color="auto" w:sz="12"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年用水量</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335" w:type="dxa"/>
                  <w:tcBorders>
                    <w:top w:val="single" w:color="auto" w:sz="12"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废水产生量（m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515" w:type="dxa"/>
                  <w:tcBorders>
                    <w:top w:val="single" w:color="auto" w:sz="12"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年废水产生量（m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972" w:type="dxa"/>
                  <w:tcBorders>
                    <w:top w:val="single" w:color="auto" w:sz="12" w:space="0"/>
                    <w:left w:val="single" w:color="auto" w:sz="4" w:space="0"/>
                    <w:bottom w:val="single" w:color="auto" w:sz="4" w:space="0"/>
                    <w:right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dxa"/>
                  <w:tcBorders>
                    <w:top w:val="single" w:color="auto" w:sz="4" w:space="0"/>
                    <w:left w:val="nil"/>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生活用水</w:t>
                  </w:r>
                </w:p>
              </w:tc>
              <w:tc>
                <w:tcPr>
                  <w:tcW w:w="135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15L/</w:t>
                  </w:r>
                  <w:r>
                    <w:rPr>
                      <w:rFonts w:hint="default" w:ascii="Times New Roman" w:hAnsi="Times New Roman" w:eastAsia="宋体" w:cs="Times New Roman"/>
                      <w:color w:val="auto"/>
                      <w:sz w:val="21"/>
                      <w:szCs w:val="21"/>
                      <w:lang w:val="zh-CN"/>
                    </w:rPr>
                    <w:t>人</w:t>
                  </w:r>
                  <w:r>
                    <w:rPr>
                      <w:rFonts w:hint="default" w:ascii="Times New Roman" w:hAnsi="Times New Roman" w:eastAsia="宋体" w:cs="Times New Roman"/>
                      <w:color w:val="auto"/>
                      <w:sz w:val="21"/>
                      <w:szCs w:val="21"/>
                    </w:rPr>
                    <w:t>·d</w:t>
                  </w:r>
                </w:p>
              </w:tc>
              <w:tc>
                <w:tcPr>
                  <w:tcW w:w="8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20人</w:t>
                  </w:r>
                </w:p>
              </w:tc>
              <w:tc>
                <w:tcPr>
                  <w:tcW w:w="9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20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109.5</w:t>
                  </w:r>
                </w:p>
              </w:tc>
              <w:tc>
                <w:tcPr>
                  <w:tcW w:w="133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51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87.6</w:t>
                  </w:r>
                </w:p>
              </w:tc>
              <w:tc>
                <w:tcPr>
                  <w:tcW w:w="972" w:type="dxa"/>
                  <w:tcBorders>
                    <w:top w:val="single" w:color="auto" w:sz="4" w:space="0"/>
                    <w:left w:val="single" w:color="auto" w:sz="4" w:space="0"/>
                    <w:bottom w:val="single" w:color="auto" w:sz="4" w:space="0"/>
                    <w:right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dxa"/>
                  <w:tcBorders>
                    <w:top w:val="single" w:color="auto" w:sz="4" w:space="0"/>
                    <w:left w:val="nil"/>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加药用水</w:t>
                  </w:r>
                </w:p>
              </w:tc>
              <w:tc>
                <w:tcPr>
                  <w:tcW w:w="135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0.2m³/d</w:t>
                  </w:r>
                </w:p>
              </w:tc>
              <w:tc>
                <w:tcPr>
                  <w:tcW w:w="8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20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133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1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972" w:type="dxa"/>
                  <w:tcBorders>
                    <w:top w:val="single" w:color="auto" w:sz="4" w:space="0"/>
                    <w:left w:val="single" w:color="auto" w:sz="4" w:space="0"/>
                    <w:bottom w:val="single" w:color="auto" w:sz="4" w:space="0"/>
                    <w:right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dxa"/>
                  <w:tcBorders>
                    <w:top w:val="single" w:color="auto" w:sz="4" w:space="0"/>
                    <w:left w:val="nil"/>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绿化用水</w:t>
                  </w:r>
                </w:p>
              </w:tc>
              <w:tc>
                <w:tcPr>
                  <w:tcW w:w="135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0.28m³/㎡·a</w:t>
                  </w:r>
                </w:p>
              </w:tc>
              <w:tc>
                <w:tcPr>
                  <w:tcW w:w="8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0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280</w:t>
                  </w:r>
                </w:p>
              </w:tc>
              <w:tc>
                <w:tcPr>
                  <w:tcW w:w="133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1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w:t>
                  </w:r>
                </w:p>
              </w:tc>
              <w:tc>
                <w:tcPr>
                  <w:tcW w:w="972" w:type="dxa"/>
                  <w:tcBorders>
                    <w:top w:val="single" w:color="auto" w:sz="4" w:space="0"/>
                    <w:left w:val="single" w:color="auto" w:sz="4" w:space="0"/>
                    <w:bottom w:val="single" w:color="auto" w:sz="4" w:space="0"/>
                    <w:right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非采暖期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dxa"/>
                  <w:tcBorders>
                    <w:top w:val="single" w:color="auto" w:sz="4" w:space="0"/>
                    <w:left w:val="nil"/>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356" w:type="dxa"/>
                  <w:tcBorders>
                    <w:top w:val="single" w:color="auto" w:sz="4" w:space="0"/>
                    <w:left w:val="single" w:color="auto" w:sz="4" w:space="0"/>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885" w:type="dxa"/>
                  <w:tcBorders>
                    <w:top w:val="single" w:color="auto" w:sz="4" w:space="0"/>
                    <w:left w:val="single" w:color="auto" w:sz="4" w:space="0"/>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5" w:type="dxa"/>
                  <w:tcBorders>
                    <w:top w:val="single" w:color="auto" w:sz="4" w:space="0"/>
                    <w:left w:val="single" w:color="auto" w:sz="4" w:space="0"/>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00" w:type="dxa"/>
                  <w:tcBorders>
                    <w:top w:val="single" w:color="auto" w:sz="4" w:space="0"/>
                    <w:left w:val="single" w:color="auto" w:sz="4" w:space="0"/>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462.5</w:t>
                  </w:r>
                </w:p>
              </w:tc>
              <w:tc>
                <w:tcPr>
                  <w:tcW w:w="1335" w:type="dxa"/>
                  <w:tcBorders>
                    <w:top w:val="single" w:color="auto" w:sz="4" w:space="0"/>
                    <w:left w:val="single" w:color="auto" w:sz="4" w:space="0"/>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515" w:type="dxa"/>
                  <w:tcBorders>
                    <w:top w:val="single" w:color="auto" w:sz="4" w:space="0"/>
                    <w:left w:val="single" w:color="auto" w:sz="4" w:space="0"/>
                    <w:bottom w:val="single" w:color="auto" w:sz="12" w:space="0"/>
                    <w:right w:val="single" w:color="auto" w:sz="4" w:space="0"/>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87.6</w:t>
                  </w:r>
                </w:p>
              </w:tc>
              <w:tc>
                <w:tcPr>
                  <w:tcW w:w="972" w:type="dxa"/>
                  <w:tcBorders>
                    <w:top w:val="single" w:color="auto" w:sz="4" w:space="0"/>
                    <w:left w:val="single" w:color="auto" w:sz="4" w:space="0"/>
                    <w:bottom w:val="single" w:color="auto" w:sz="12" w:space="0"/>
                    <w:right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pict>
                <v:group id="组合 125" o:spid="_x0000_s2050" o:spt="203" style="position:absolute;left:0pt;margin-left:79.85pt;margin-top:2.2pt;height:140.15pt;width:313.4pt;z-index:251664384;mso-width-relative:page;mso-height-relative:page;" coordorigin="3378,138897" coordsize="6268,2699" o:gfxdata="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&#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DNzRsQ2gAAAAoBAAAPAAAAAAAAAAEAIAAAACIAAABk&#10;cnMvZG93bnJldi54bWxQSwECFAAUAAAACACHTuJAsp7aHc0FAAAGLAAADgAAAAAAAAABACAAAAAp&#10;AQAAZHJzL2Uyb0RvYy54bWxQSwUGAAAAAAYABgBZAQAAaAkAAAAA&#10;">
                  <o:lock v:ext="edit" aspectratio="f"/>
                  <v:shape id="直接箭头连接符 87" o:spid="_x0000_s2051" o:spt="32" type="#_x0000_t32" style="position:absolute;left:5140;top:141399;height:0;width:810;" filled="f" stroked="t" coordsize="21600,21600" o:gfxdata="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Hwlq8AAAA&#10;2wAAAA8AAAAAAAAAAQAgAAAAIgAAAGRycy9kb3ducmV2LnhtbFBLAQIUABQAAAAIAIdO4kAzLwWe&#10;OwAAADkAAAAQAAAAAAAAAAEAIAAAAAsBAABkcnMvc2hhcGV4bWwueG1sUEsFBgAAAAAGAAYAWwEA&#10;ALUDAAAAAA==&#10;">
                    <v:path arrowok="t"/>
                    <v:fill on="f" focussize="0,0"/>
                    <v:stroke weight="0.5pt" color="#000000" joinstyle="round" endarrow="block" endarrowwidth="narrow"/>
                    <v:imagedata o:title=""/>
                    <o:lock v:ext="edit" aspectratio="f"/>
                  </v:shape>
                  <v:shape id="直接箭头连接符 89" o:spid="_x0000_s2052" o:spt="32" type="#_x0000_t32" style="position:absolute;left:5155;top:140505;height:0;width:825;" filled="f" stroked="t" coordsize="21600,21600" o:gfxdata="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U87O8AAAA&#10;2wAAAA8AAAAAAAAAAQAgAAAAIgAAAGRycy9kb3ducmV2LnhtbFBLAQIUABQAAAAIAIdO4kAzLwWe&#10;OwAAADkAAAAQAAAAAAAAAAEAIAAAAAsBAABkcnMvc2hhcGV4bWwueG1sUEsFBgAAAAAGAAYAWwEA&#10;ALUDAAAAAA==&#10;">
                    <v:path arrowok="t"/>
                    <v:fill on="f" focussize="0,0"/>
                    <v:stroke weight="0.5pt" color="#000000" joinstyle="round" endarrow="block" endarrowwidth="narrow"/>
                    <v:imagedata o:title=""/>
                    <o:lock v:ext="edit" aspectratio="f"/>
                  </v:shape>
                  <v:shape id="文本框 90" o:spid="_x0000_s2053" o:spt="202" type="#_x0000_t202" style="position:absolute;left:3378;top:140260;height:510;width:975;"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path/>
                    <v:fill on="f" focussize="0,0"/>
                    <v:stroke on="f" weight="0.5pt"/>
                    <v:imagedata o:title=""/>
                    <o:lock v:ext="edit" aspectratio="f"/>
                    <v:textbox>
                      <w:txbxContent>
                        <w:p>
                          <w:pPr>
                            <w:rPr>
                              <w:rFonts w:ascii="宋体" w:hAnsi="宋体"/>
                            </w:rPr>
                          </w:pPr>
                          <w:r>
                            <w:rPr>
                              <w:rFonts w:hint="eastAsia" w:ascii="宋体" w:hAnsi="宋体"/>
                            </w:rPr>
                            <w:t>新鲜水</w:t>
                          </w:r>
                        </w:p>
                      </w:txbxContent>
                    </v:textbox>
                  </v:shape>
                  <v:shape id="直接箭头连接符 91" o:spid="_x0000_s2054" o:spt="32" type="#_x0000_t32" style="position:absolute;left:4341;top:140508;height:0;width:810;" filled="f" stroked="t" coordsize="21600,21600" o:gfxdata="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2lovQAA&#10;ANsAAAAPAAAAAAAAAAEAIAAAACIAAABkcnMvZG93bnJldi54bWxQSwECFAAUAAAACACHTuJAMy8F&#10;njsAAAA5AAAAEAAAAAAAAAABACAAAAAMAQAAZHJzL3NoYXBleG1sLnhtbFBLBQYAAAAABgAGAFsB&#10;AAC2AwAAAAA=&#10;">
                    <v:path arrowok="t"/>
                    <v:fill on="f" focussize="0,0"/>
                    <v:stroke weight="0.5pt" color="#000000" joinstyle="round" endarrow="block" endarrowwidth="narrow"/>
                    <v:imagedata o:title=""/>
                    <o:lock v:ext="edit" aspectratio="f"/>
                  </v:shape>
                  <v:shape id="直接箭头连接符 92" o:spid="_x0000_s2055" o:spt="32" type="#_x0000_t32" style="position:absolute;left:5147;top:139713;height:1684;width:5;" filled="f" stroked="t" coordsize="21600,21600" o:gfxdata="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WuQ74A&#10;AADbAAAADwAAAAAAAAABACAAAAAiAAAAZHJzL2Rvd25yZXYueG1sUEsBAhQAFAAAAAgAh07iQDMv&#10;BZ47AAAAOQAAABAAAAAAAAAAAQAgAAAADQEAAGRycy9zaGFwZXhtbC54bWxQSwUGAAAAAAYABgBb&#10;AQAAtwMAAAAA&#10;">
                    <v:path arrowok="t"/>
                    <v:fill on="f" focussize="0,0"/>
                    <v:stroke weight="0.5pt" color="#000000" joinstyle="round" endarrowwidth="narrow"/>
                    <v:imagedata o:title=""/>
                    <o:lock v:ext="edit" aspectratio="f"/>
                  </v:shape>
                  <v:shape id="文本框 93" o:spid="_x0000_s2056" o:spt="202" type="#_x0000_t202" style="position:absolute;left:4213;top:140066;height:420;width:794;"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v:shape id="文本框 94" o:spid="_x0000_s2057" o:spt="202" type="#_x0000_t202" style="position:absolute;left:5208;top:140058;height:420;width:592;"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pPr>
                            <w:rPr>
                              <w:rFonts w:hint="default" w:eastAsia="宋体"/>
                              <w:lang w:val="en-US" w:eastAsia="zh-CN"/>
                            </w:rPr>
                          </w:pPr>
                          <w:r>
                            <w:rPr>
                              <w:rFonts w:hint="eastAsia"/>
                              <w:lang w:val="en-US" w:eastAsia="zh-CN"/>
                            </w:rPr>
                            <w:t>0.2</w:t>
                          </w:r>
                        </w:p>
                      </w:txbxContent>
                    </v:textbox>
                  </v:shape>
                  <v:shape id="文本框 95" o:spid="_x0000_s2058" o:spt="202" type="#_x0000_t202" style="position:absolute;left:5951;top:141190;height:406;width:1371;" filled="f" stroked="t" coordsize="21600,21600" o:gfxdata="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Fkjs7gAAADbAAAA&#10;DwAAAAAAAAABACAAAAAiAAAAZHJzL2Rvd25yZXYueG1sUEsBAhQAFAAAAAgAh07iQDMvBZ47AAAA&#10;OQAAABAAAAAAAAAAAQAgAAAABwEAAGRycy9zaGFwZXhtbC54bWxQSwUGAAAAAAYABgBbAQAAsQMA&#10;AAAA&#10;">
                    <v:path/>
                    <v:fill on="f" focussize="0,0"/>
                    <v:stroke weight="0.5pt" color="#000000" joinstyle="miter" endarrowwidth="narrow"/>
                    <v:imagedata o:title=""/>
                    <o:lock v:ext="edit" aspectratio="f"/>
                    <v:textbox>
                      <w:txbxContent>
                        <w:p>
                          <w:pPr>
                            <w:jc w:val="center"/>
                            <w:rPr>
                              <w:rFonts w:ascii="宋体" w:hAnsi="宋体"/>
                            </w:rPr>
                          </w:pPr>
                          <w:r>
                            <w:rPr>
                              <w:rFonts w:hint="eastAsia" w:ascii="宋体" w:hAnsi="宋体"/>
                            </w:rPr>
                            <w:t>绿化用水</w:t>
                          </w:r>
                        </w:p>
                      </w:txbxContent>
                    </v:textbox>
                  </v:shape>
                  <v:shape id="直接箭头连接符 96" o:spid="_x0000_s2059" o:spt="32" type="#_x0000_t32" style="position:absolute;left:6363;top:140053;flip:y;height:255;width:435;" filled="f" stroked="t" coordsize="21600,21600" o:gfxdata="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QyASLgAAADbAAAA&#10;DwAAAAAAAAABACAAAAAiAAAAZHJzL2Rvd25yZXYueG1sUEsBAhQAFAAAAAgAh07iQDMvBZ47AAAA&#10;OQAAABAAAAAAAAAAAQAgAAAABwEAAGRycy9zaGFwZXhtbC54bWxQSwUGAAAAAAYABgBbAQAAsQMA&#10;AAAA&#10;">
                    <v:path arrowok="t"/>
                    <v:fill on="f" focussize="0,0"/>
                    <v:stroke weight="0.5pt" color="#000000" joinstyle="round" dashstyle="dash" endarrow="block" endarrowwidth="narrow"/>
                    <v:imagedata o:title=""/>
                    <o:lock v:ext="edit" aspectratio="f"/>
                  </v:shape>
                  <v:shape id="文本框 98" o:spid="_x0000_s2060" o:spt="202" type="#_x0000_t202" style="position:absolute;left:5171;top:140940;height:420;width:653;"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path/>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v:shape id="文本框 102" o:spid="_x0000_s2061" o:spt="202" type="#_x0000_t202" style="position:absolute;left:5981;top:140299;height:399;width:1379;" filled="f" stroked="t" coordsize="21600,21600" o:gfxdata="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Zriu8AAAA&#10;3AAAAA8AAAAAAAAAAQAgAAAAIgAAAGRycy9kb3ducmV2LnhtbFBLAQIUABQAAAAIAIdO4kAzLwWe&#10;OwAAADkAAAAQAAAAAAAAAAEAIAAAAAsBAABkcnMvc2hhcGV4bWwueG1sUEsFBgAAAAAGAAYAWwEA&#10;ALUDAAAAAA==&#10;">
                    <v:path/>
                    <v:fill on="f" focussize="0,0"/>
                    <v:stroke weight="0.5pt" color="#000000" joinstyle="miter" endarrowwidth="narrow"/>
                    <v:imagedata o:title=""/>
                    <o:lock v:ext="edit" aspectratio="f"/>
                    <v:textbox>
                      <w:txbxContent>
                        <w:p>
                          <w:pPr>
                            <w:jc w:val="center"/>
                            <w:rPr>
                              <w:rFonts w:hint="eastAsia" w:ascii="宋体" w:hAnsi="宋体" w:eastAsia="宋体"/>
                              <w:lang w:eastAsia="zh-CN"/>
                            </w:rPr>
                          </w:pPr>
                          <w:r>
                            <w:rPr>
                              <w:rFonts w:hint="eastAsia" w:ascii="宋体" w:hAnsi="宋体"/>
                              <w:lang w:eastAsia="zh-CN"/>
                            </w:rPr>
                            <w:t>加药用水</w:t>
                          </w:r>
                        </w:p>
                      </w:txbxContent>
                    </v:textbox>
                  </v:shape>
                  <v:shape id="直接箭头连接符 107" o:spid="_x0000_s2062" o:spt="32" type="#_x0000_t32" style="position:absolute;left:5156;top:139722;height:0;width:810;" filled="f" stroked="t" coordsize="21600,21600" o:gfxdata="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o9eUugAAANwA&#10;AAAPAAAAAAAAAAEAIAAAACIAAABkcnMvZG93bnJldi54bWxQSwECFAAUAAAACACHTuJAMy8FnjsA&#10;AAA5AAAAEAAAAAAAAAABACAAAAAJAQAAZHJzL3NoYXBleG1sLnhtbFBLBQYAAAAABgAGAFsBAACz&#10;AwAAAAA=&#10;">
                    <v:path arrowok="t"/>
                    <v:fill on="f" focussize="0,0"/>
                    <v:stroke weight="0.5pt" color="#000000" joinstyle="round" endarrow="block" endarrowwidth="narrow"/>
                    <v:imagedata o:title=""/>
                    <o:lock v:ext="edit" aspectratio="f"/>
                  </v:shape>
                  <v:shape id="文本框 108" o:spid="_x0000_s2063" o:spt="202" type="#_x0000_t202" style="position:absolute;left:5968;top:139510;height:413;width:1365;" filled="f" stroked="t" coordsize="21600,21600" o:gfxdata="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xmcG8AAAA&#10;3AAAAA8AAAAAAAAAAQAgAAAAIgAAAGRycy9kb3ducmV2LnhtbFBLAQIUABQAAAAIAIdO4kAzLwWe&#10;OwAAADkAAAAQAAAAAAAAAAEAIAAAAAsBAABkcnMvc2hhcGV4bWwueG1sUEsFBgAAAAAGAAYAWwEA&#10;ALUDAAAAAA==&#10;">
                    <v:path/>
                    <v:fill on="f" focussize="0,0"/>
                    <v:stroke weight="0.5pt" color="#000000" joinstyle="miter" endarrowwidth="narrow"/>
                    <v:imagedata o:title=""/>
                    <o:lock v:ext="edit" aspectratio="f"/>
                    <v:textbox>
                      <w:txbxContent>
                        <w:p>
                          <w:pPr>
                            <w:jc w:val="center"/>
                            <w:rPr>
                              <w:rFonts w:ascii="宋体" w:hAnsi="宋体"/>
                            </w:rPr>
                          </w:pPr>
                          <w:r>
                            <w:rPr>
                              <w:rFonts w:hint="eastAsia" w:ascii="宋体" w:hAnsi="宋体"/>
                            </w:rPr>
                            <w:t>生活用水</w:t>
                          </w:r>
                        </w:p>
                      </w:txbxContent>
                    </v:textbox>
                  </v:shape>
                  <v:shape id="文本框 109" o:spid="_x0000_s2064" o:spt="202" type="#_x0000_t202" style="position:absolute;left:5191;top:139233;height:419;width:602;"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pPr>
                            <w:rPr>
                              <w:rFonts w:hint="eastAsia" w:eastAsia="宋体"/>
                              <w:lang w:eastAsia="zh-CN"/>
                            </w:rPr>
                          </w:pPr>
                          <w:r>
                            <w:rPr>
                              <w:rFonts w:hint="eastAsia"/>
                            </w:rPr>
                            <w:t>0.</w:t>
                          </w:r>
                          <w:r>
                            <w:rPr>
                              <w:rFonts w:hint="eastAsia"/>
                              <w:lang w:val="en-US" w:eastAsia="zh-CN"/>
                            </w:rPr>
                            <w:t>3</w:t>
                          </w:r>
                        </w:p>
                      </w:txbxContent>
                    </v:textbox>
                  </v:shape>
                  <v:shape id="直接箭头连接符 110" o:spid="_x0000_s2065" o:spt="32" type="#_x0000_t32" style="position:absolute;left:6340;top:139189;flip:y;height:255;width:435;" filled="f" stroked="t" coordsize="21600,21600" o:gfxdata="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UF+8AAAA&#10;3AAAAA8AAAAAAAAAAQAgAAAAIgAAAGRycy9kb3ducmV2LnhtbFBLAQIUABQAAAAIAIdO4kAzLwWe&#10;OwAAADkAAAAQAAAAAAAAAAEAIAAAAAsBAABkcnMvc2hhcGV4bWwueG1sUEsFBgAAAAAGAAYAWwEA&#10;ALUDAAAAAA==&#10;">
                    <v:path arrowok="t"/>
                    <v:fill on="f" focussize="0,0"/>
                    <v:stroke weight="0.5pt" color="#000000" joinstyle="round" dashstyle="dash" endarrow="block" endarrowwidth="narrow"/>
                    <v:imagedata o:title=""/>
                    <o:lock v:ext="edit" aspectratio="f"/>
                  </v:shape>
                  <v:shape id="文本框 111" o:spid="_x0000_s2066" o:spt="202" type="#_x0000_t202" style="position:absolute;left:6707;top:138897;height:415;width:690;"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pPr>
                            <w:rPr>
                              <w:rFonts w:hint="default" w:eastAsia="宋体"/>
                              <w:lang w:val="en-US" w:eastAsia="zh-CN"/>
                            </w:rPr>
                          </w:pPr>
                          <w:r>
                            <w:rPr>
                              <w:rFonts w:hint="eastAsia"/>
                            </w:rPr>
                            <w:t>0.</w:t>
                          </w:r>
                          <w:r>
                            <w:rPr>
                              <w:rFonts w:hint="eastAsia"/>
                              <w:lang w:val="en-US" w:eastAsia="zh-CN"/>
                            </w:rPr>
                            <w:t>06</w:t>
                          </w:r>
                        </w:p>
                      </w:txbxContent>
                    </v:textbox>
                  </v:shape>
                  <v:shape id="直接箭头连接符 112" o:spid="_x0000_s2067" o:spt="32" type="#_x0000_t32" style="position:absolute;left:7332;top:139719;flip:y;height:2;width:685;" filled="f" stroked="t" coordsize="21600,21600" o:gfxdata="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o01r4A&#10;AADcAAAADwAAAAAAAAABACAAAAAiAAAAZHJzL2Rvd25yZXYueG1sUEsBAhQAFAAAAAgAh07iQDMv&#10;BZ47AAAAOQAAABAAAAAAAAAAAQAgAAAADQEAAGRycy9zaGFwZXhtbC54bWxQSwUGAAAAAAYABgBb&#10;AQAAtwMAAAAA&#10;">
                    <v:path arrowok="t"/>
                    <v:fill on="f" focussize="0,0"/>
                    <v:stroke weight="0.5pt" color="#000000" joinstyle="round" endarrow="block" endarrowwidth="narrow"/>
                    <v:imagedata o:title=""/>
                    <o:lock v:ext="edit" aspectratio="f"/>
                  </v:shape>
                  <v:shape id="文本框 113" o:spid="_x0000_s2068" o:spt="202" type="#_x0000_t202" style="position:absolute;left:7274;top:139165;height:461;width:675;"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path/>
                    <v:fill on="f" focussize="0,0"/>
                    <v:stroke on="f" weight="0.5pt"/>
                    <v:imagedata o:title=""/>
                    <o:lock v:ext="edit" aspectratio="f"/>
                    <v:textbox>
                      <w:txbxContent>
                        <w:p>
                          <w:pPr>
                            <w:rPr>
                              <w:rFonts w:hint="default" w:eastAsia="宋体"/>
                              <w:lang w:val="en-US" w:eastAsia="zh-CN"/>
                            </w:rPr>
                          </w:pPr>
                          <w:r>
                            <w:rPr>
                              <w:rFonts w:hint="eastAsia"/>
                            </w:rPr>
                            <w:t>0.</w:t>
                          </w:r>
                          <w:r>
                            <w:rPr>
                              <w:rFonts w:hint="eastAsia"/>
                              <w:lang w:val="en-US" w:eastAsia="zh-CN"/>
                            </w:rPr>
                            <w:t>24</w:t>
                          </w:r>
                        </w:p>
                      </w:txbxContent>
                    </v:textbox>
                  </v:shape>
                  <v:shape id="文本框 114" o:spid="_x0000_s2069" o:spt="202" type="#_x0000_t202" style="position:absolute;left:7997;top:139509;height:421;width:1649;" filled="f" stroked="t" coordsize="21600,21600" o:gfxdata="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lBRm8AAAA&#10;3AAAAA8AAAAAAAAAAQAgAAAAIgAAAGRycy9kb3ducmV2LnhtbFBLAQIUABQAAAAIAIdO4kAzLwWe&#10;OwAAADkAAAAQAAAAAAAAAAEAIAAAAAsBAABkcnMvc2hhcGV4bWwueG1sUEsFBgAAAAAGAAYAWwEA&#10;ALUDAAAAAA==&#10;">
                    <v:path/>
                    <v:fill on="f" focussize="0,0"/>
                    <v:stroke weight="0.5pt" color="#000000" joinstyle="miter" endarrowwidth="narrow"/>
                    <v:imagedata o:title=""/>
                    <o:lock v:ext="edit" aspectratio="f"/>
                    <v:textbox>
                      <w:txbxContent>
                        <w:p>
                          <w:pPr>
                            <w:jc w:val="center"/>
                            <w:rPr>
                              <w:rFonts w:hint="eastAsia" w:ascii="宋体" w:hAnsi="宋体" w:eastAsia="宋体"/>
                              <w:lang w:eastAsia="zh-CN"/>
                            </w:rPr>
                          </w:pPr>
                          <w:r>
                            <w:rPr>
                              <w:rFonts w:hint="eastAsia" w:ascii="宋体" w:hAnsi="宋体"/>
                              <w:lang w:eastAsia="zh-CN"/>
                            </w:rPr>
                            <w:t>污水处理系统</w:t>
                          </w:r>
                        </w:p>
                      </w:txbxContent>
                    </v:textbox>
                  </v:shape>
                  <v:shape id="直接箭头连接符 121" o:spid="_x0000_s2070" o:spt="32" type="#_x0000_t32" style="position:absolute;left:6228;top:140933;flip:y;height:255;width:435;" filled="f" stroked="t" coordsize="21600,21600" o:gfxdata="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3z95ugAAANwA&#10;AAAPAAAAAAAAAAEAIAAAACIAAABkcnMvZG93bnJldi54bWxQSwECFAAUAAAACACHTuJAMy8FnjsA&#10;AAA5AAAAEAAAAAAAAAABACAAAAAJAQAAZHJzL3NoYXBleG1sLnhtbFBLBQYAAAAABgAGAFsBAACz&#10;AwAAAAA=&#10;">
                    <v:path arrowok="t"/>
                    <v:fill on="f" focussize="0,0"/>
                    <v:stroke weight="0.5pt" color="#000000" joinstyle="round" dashstyle="dash" endarrow="block" endarrowwidth="narrow"/>
                    <v:imagedata o:title=""/>
                    <o:lock v:ext="edit" aspectratio="f"/>
                  </v:shape>
                  <v:shape id="文本框 122" o:spid="_x0000_s2071" o:spt="202" type="#_x0000_t202" style="position:absolute;left:6570;top:140732;height:415;width:564;"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path/>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v:shape id="文本框 124" o:spid="_x0000_s2072" o:spt="202" type="#_x0000_t202" style="position:absolute;left:6692;top:139854;height:415;width:690;" filled="f" stroked="f" coordsize="21600,21600" o:gfxdata="UEsDBAoAAAAAAIdO4kAAAAAAAAAAAAAAAAAEAAAAZHJzL1BLAwQUAAAACACHTuJAm0RX7bwAAADc&#10;AAAADwAAAGRycy9kb3ducmV2LnhtbEVPS4vCMBC+C/6HMII3TS3u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V+28AAAA&#10;3AAAAA8AAAAAAAAAAQAgAAAAIgAAAGRycy9kb3ducmV2LnhtbFBLAQIUABQAAAAIAIdO4kAzLwWe&#10;OwAAADkAAAAQAAAAAAAAAAEAIAAAAAsBAABkcnMvc2hhcGV4bWwueG1sUEsFBgAAAAAGAAYAWwEA&#10;ALUDAAAAAA==&#10;">
                    <v:path/>
                    <v:fill on="f" focussize="0,0"/>
                    <v:stroke on="f" weight="0.5pt"/>
                    <v:imagedata o:title=""/>
                    <o:lock v:ext="edit" aspectratio="f"/>
                    <v:textbox>
                      <w:txbxContent>
                        <w:p>
                          <w:pPr>
                            <w:rPr>
                              <w:rFonts w:hint="default" w:eastAsia="宋体"/>
                              <w:lang w:val="en-US" w:eastAsia="zh-CN"/>
                            </w:rPr>
                          </w:pPr>
                          <w:r>
                            <w:rPr>
                              <w:rFonts w:hint="eastAsia"/>
                              <w:lang w:val="en-US" w:eastAsia="zh-CN"/>
                            </w:rPr>
                            <w:t>0.2</w:t>
                          </w:r>
                        </w:p>
                      </w:txbxContent>
                    </v:textbox>
                  </v:shape>
                </v:group>
              </w:pict>
            </w:r>
          </w:p>
          <w:p>
            <w:pPr>
              <w:spacing w:line="480" w:lineRule="exact"/>
              <w:ind w:firstLine="480" w:firstLineChars="200"/>
              <w:jc w:val="left"/>
              <w:rPr>
                <w:rFonts w:hint="default" w:ascii="Times New Roman" w:hAnsi="Times New Roman" w:eastAsia="宋体" w:cs="Times New Roman"/>
                <w:color w:val="auto"/>
                <w:kern w:val="0"/>
                <w:sz w:val="24"/>
              </w:rPr>
            </w:pPr>
          </w:p>
          <w:p>
            <w:pPr>
              <w:spacing w:line="480" w:lineRule="exact"/>
              <w:ind w:firstLine="480" w:firstLineChars="200"/>
              <w:jc w:val="left"/>
              <w:rPr>
                <w:rFonts w:hint="default" w:ascii="Times New Roman" w:hAnsi="Times New Roman" w:eastAsia="宋体" w:cs="Times New Roman"/>
                <w:color w:val="auto"/>
                <w:kern w:val="0"/>
                <w:sz w:val="24"/>
              </w:rPr>
            </w:pPr>
          </w:p>
          <w:p>
            <w:pPr>
              <w:spacing w:line="480" w:lineRule="exact"/>
              <w:ind w:firstLine="480" w:firstLineChars="200"/>
              <w:jc w:val="left"/>
              <w:rPr>
                <w:rFonts w:hint="default" w:ascii="Times New Roman" w:hAnsi="Times New Roman" w:eastAsia="宋体" w:cs="Times New Roman"/>
                <w:color w:val="auto"/>
                <w:kern w:val="0"/>
                <w:sz w:val="24"/>
              </w:rPr>
            </w:pPr>
          </w:p>
          <w:p>
            <w:pPr>
              <w:spacing w:line="480" w:lineRule="exact"/>
              <w:ind w:firstLine="480" w:firstLineChars="200"/>
              <w:jc w:val="left"/>
              <w:rPr>
                <w:rFonts w:hint="default" w:ascii="Times New Roman" w:hAnsi="Times New Roman" w:eastAsia="宋体" w:cs="Times New Roman"/>
                <w:color w:val="auto"/>
                <w:kern w:val="0"/>
                <w:sz w:val="24"/>
              </w:rPr>
            </w:pPr>
          </w:p>
          <w:p>
            <w:pPr>
              <w:pStyle w:val="95"/>
              <w:rPr>
                <w:rFonts w:hint="default" w:ascii="Times New Roman" w:hAnsi="Times New Roman" w:eastAsia="宋体" w:cs="Times New Roman"/>
                <w:color w:val="auto"/>
              </w:rPr>
            </w:pPr>
          </w:p>
          <w:p>
            <w:pPr>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pict>
                <v:shape id="_x0000_s2073" o:spid="_x0000_s2073" o:spt="202" type="#_x0000_t202" style="position:absolute;left:0pt;margin-left:-5.25pt;margin-top:6.25pt;height:27.75pt;width:471.7pt;z-index:251671552;mso-width-relative:page;mso-height-relative:page;" filled="f" stroked="f" coordsize="21600,21600" o:gfxdata="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M&#10;72vbAAAACgEAAA8AAAAAAAAAAQAgAAAAIgAAAGRycy9kb3ducmV2LnhtbFBLAQIUABQAAAAIAIdO&#10;4kBMwSUZIAIAABwEAAAOAAAAAAAAAAEAIAAAACoBAABkcnMvZTJvRG9jLnhtbFBLBQYAAAAABgAG&#10;AFkBAAC8BQAAAAA=&#10;">
                  <v:path/>
                  <v:fill on="f" focussize="0,0"/>
                  <v:stroke on="f" weight="0.5pt"/>
                  <v:imagedata o:title=""/>
                  <o:lock v:ext="edit" aspectratio="f"/>
                  <v:textbox>
                    <w:txbxContent>
                      <w:p>
                        <w:pPr>
                          <w:spacing w:line="360" w:lineRule="auto"/>
                          <w:jc w:val="center"/>
                          <w:rPr>
                            <w:b/>
                            <w:bCs/>
                            <w:sz w:val="24"/>
                          </w:rPr>
                        </w:pPr>
                        <w:r>
                          <w:rPr>
                            <w:b/>
                            <w:bCs/>
                            <w:sz w:val="24"/>
                          </w:rPr>
                          <w:t>图1-1  项目水平衡图  单位：m</w:t>
                        </w:r>
                        <w:r>
                          <w:rPr>
                            <w:b/>
                            <w:bCs/>
                            <w:sz w:val="24"/>
                            <w:vertAlign w:val="superscript"/>
                          </w:rPr>
                          <w:t>3</w:t>
                        </w:r>
                        <w:r>
                          <w:rPr>
                            <w:b/>
                            <w:bCs/>
                            <w:sz w:val="24"/>
                          </w:rPr>
                          <w:t>/d</w:t>
                        </w:r>
                      </w:p>
                      <w:p/>
                    </w:txbxContent>
                  </v:textbox>
                </v:shape>
              </w:pic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（3）排水</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站内</w:t>
            </w:r>
            <w:r>
              <w:rPr>
                <w:rFonts w:hint="default" w:ascii="Times New Roman" w:hAnsi="Times New Roman" w:eastAsia="宋体" w:cs="Times New Roman"/>
                <w:color w:val="auto"/>
                <w:kern w:val="0"/>
                <w:sz w:val="24"/>
              </w:rPr>
              <w:t>生活污水与来水一并</w:t>
            </w:r>
            <w:r>
              <w:rPr>
                <w:rFonts w:hint="default" w:ascii="Times New Roman" w:hAnsi="Times New Roman" w:eastAsia="宋体" w:cs="Times New Roman"/>
                <w:color w:val="auto"/>
                <w:kern w:val="0"/>
                <w:sz w:val="24"/>
                <w:lang w:eastAsia="zh-CN"/>
              </w:rPr>
              <w:t>进</w:t>
            </w:r>
            <w:r>
              <w:rPr>
                <w:rFonts w:hint="default" w:ascii="Times New Roman" w:hAnsi="Times New Roman" w:eastAsia="宋体" w:cs="Times New Roman"/>
                <w:color w:val="auto"/>
                <w:kern w:val="0"/>
                <w:sz w:val="24"/>
              </w:rPr>
              <w:t>入项目污水处理系统处理。经污水处理系统处理达标后经</w:t>
            </w:r>
            <w:r>
              <w:rPr>
                <w:rFonts w:hint="default" w:ascii="Times New Roman" w:hAnsi="Times New Roman" w:eastAsia="宋体" w:cs="Times New Roman"/>
                <w:color w:val="auto"/>
                <w:kern w:val="0"/>
                <w:sz w:val="24"/>
                <w:lang w:eastAsia="zh-CN"/>
              </w:rPr>
              <w:t>排污口</w:t>
            </w:r>
            <w:r>
              <w:rPr>
                <w:rFonts w:hint="default" w:ascii="Times New Roman" w:hAnsi="Times New Roman" w:eastAsia="宋体" w:cs="Times New Roman"/>
                <w:color w:val="auto"/>
                <w:kern w:val="0"/>
                <w:sz w:val="24"/>
              </w:rPr>
              <w:t>排入滹沱河。</w:t>
            </w:r>
          </w:p>
          <w:p>
            <w:pPr>
              <w:keepNext w:val="0"/>
              <w:keepLines w:val="0"/>
              <w:pageBreakBefore w:val="0"/>
              <w:widowControl w:val="0"/>
              <w:tabs>
                <w:tab w:val="left" w:pos="720"/>
                <w:tab w:val="left" w:pos="900"/>
              </w:tabs>
              <w:kinsoku/>
              <w:wordWrap/>
              <w:overflowPunct/>
              <w:topLinePunct w:val="0"/>
              <w:autoSpaceDE/>
              <w:autoSpaceDN/>
              <w:bidi w:val="0"/>
              <w:spacing w:line="480" w:lineRule="exact"/>
              <w:jc w:val="left"/>
              <w:rPr>
                <w:rFonts w:hint="default" w:ascii="Times New Roman" w:hAnsi="Times New Roman" w:eastAsia="宋体" w:cs="Times New Roman"/>
                <w:b/>
                <w:bCs/>
                <w:color w:val="auto"/>
                <w:spacing w:val="2"/>
                <w:sz w:val="24"/>
              </w:rPr>
            </w:pPr>
            <w:r>
              <w:rPr>
                <w:rFonts w:hint="default" w:ascii="Times New Roman" w:hAnsi="Times New Roman" w:eastAsia="宋体" w:cs="Times New Roman"/>
                <w:b/>
                <w:bCs/>
                <w:color w:val="auto"/>
                <w:spacing w:val="2"/>
                <w:sz w:val="24"/>
              </w:rPr>
              <w:t>1.4.2供电</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sz w:val="24"/>
              </w:rPr>
              <w:t>项目供电由繁峙县供电局供给，</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设变压器一台。</w:t>
            </w:r>
          </w:p>
          <w:p>
            <w:pPr>
              <w:keepNext w:val="0"/>
              <w:keepLines w:val="0"/>
              <w:pageBreakBefore w:val="0"/>
              <w:widowControl w:val="0"/>
              <w:kinsoku/>
              <w:wordWrap/>
              <w:overflowPunct/>
              <w:topLinePunct w:val="0"/>
              <w:autoSpaceDE/>
              <w:autoSpaceDN/>
              <w:bidi w:val="0"/>
              <w:adjustRightInd w:val="0"/>
              <w:spacing w:line="480" w:lineRule="exact"/>
              <w:jc w:val="left"/>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1.4.3 供暖</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sz w:val="24"/>
              </w:rPr>
              <w:t>本项目建设完成后，生产制度为年生产365天，办公室电采暖。</w:t>
            </w:r>
          </w:p>
          <w:p>
            <w:pPr>
              <w:keepNext w:val="0"/>
              <w:keepLines w:val="0"/>
              <w:pageBreakBefore w:val="0"/>
              <w:widowControl w:val="0"/>
              <w:kinsoku/>
              <w:wordWrap/>
              <w:overflowPunct/>
              <w:topLinePunct w:val="0"/>
              <w:autoSpaceDE/>
              <w:autoSpaceDN/>
              <w:bidi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1.5劳动定员及生产班制</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sz w:val="24"/>
              </w:rPr>
              <w:t>本项目劳动定员20人，年工作365天，三班制，每班8小时。</w:t>
            </w:r>
          </w:p>
          <w:p>
            <w:pPr>
              <w:keepNext w:val="0"/>
              <w:keepLines w:val="0"/>
              <w:pageBreakBefore w:val="0"/>
              <w:widowControl w:val="0"/>
              <w:kinsoku/>
              <w:wordWrap/>
              <w:overflowPunct/>
              <w:topLinePunct w:val="0"/>
              <w:autoSpaceDE/>
              <w:autoSpaceDN/>
              <w:bidi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1.6项目总平面布置</w:t>
            </w:r>
          </w:p>
          <w:p>
            <w:pPr>
              <w:keepNext w:val="0"/>
              <w:keepLines w:val="0"/>
              <w:pageBreakBefore w:val="0"/>
              <w:widowControl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w:t>
            </w:r>
            <w:r>
              <w:rPr>
                <w:rFonts w:hint="default" w:ascii="Times New Roman" w:hAnsi="Times New Roman" w:eastAsia="宋体" w:cs="Times New Roman"/>
                <w:color w:val="auto"/>
                <w:spacing w:val="4"/>
                <w:sz w:val="24"/>
              </w:rPr>
              <w:t>繁峙县滨河北大道和双拥路交叉口西北角</w:t>
            </w:r>
            <w:r>
              <w:rPr>
                <w:rFonts w:hint="default" w:ascii="Times New Roman" w:hAnsi="Times New Roman" w:eastAsia="宋体" w:cs="Times New Roman"/>
                <w:color w:val="auto"/>
                <w:sz w:val="24"/>
              </w:rPr>
              <w:t>，占地面积3333㎡，项目</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北侧为风机房，项目</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南侧为格栅间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调节池</w:t>
            </w:r>
            <w:r>
              <w:rPr>
                <w:rFonts w:hint="default" w:ascii="Times New Roman" w:hAnsi="Times New Roman" w:eastAsia="宋体" w:cs="Times New Roman"/>
                <w:color w:val="auto"/>
                <w:sz w:val="24"/>
                <w:lang w:eastAsia="zh-CN"/>
              </w:rPr>
              <w:t>、清水池等</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lang w:eastAsia="zh-CN"/>
              </w:rPr>
              <w:t>西</w:t>
            </w:r>
            <w:r>
              <w:rPr>
                <w:rFonts w:hint="default" w:ascii="Times New Roman" w:hAnsi="Times New Roman" w:eastAsia="宋体" w:cs="Times New Roman"/>
                <w:color w:val="auto"/>
                <w:sz w:val="24"/>
              </w:rPr>
              <w:t>侧为综合车间，</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lang w:eastAsia="zh-CN"/>
              </w:rPr>
              <w:t>东</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eastAsia="zh-CN"/>
              </w:rPr>
              <w:t>为压滤间、加药间</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电控室</w:t>
            </w:r>
            <w:r>
              <w:rPr>
                <w:rFonts w:hint="default" w:ascii="Times New Roman" w:hAnsi="Times New Roman" w:eastAsia="宋体" w:cs="Times New Roman"/>
                <w:color w:val="auto"/>
                <w:sz w:val="24"/>
              </w:rPr>
              <w:t>等。项目平面布置简单，功能分区明确，总平面布置基本合理，具体布置见总平面布置图（附图3）。</w:t>
            </w:r>
          </w:p>
          <w:p>
            <w:pPr>
              <w:keepNext w:val="0"/>
              <w:keepLines w:val="0"/>
              <w:pageBreakBefore w:val="0"/>
              <w:widowControl w:val="0"/>
              <w:kinsoku/>
              <w:wordWrap/>
              <w:overflowPunct/>
              <w:topLinePunct w:val="0"/>
              <w:autoSpaceDE/>
              <w:autoSpaceDN/>
              <w:bidi w:val="0"/>
              <w:adjustRightInd w:val="0"/>
              <w:snapToGrid w:val="0"/>
              <w:spacing w:line="480" w:lineRule="exact"/>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1.7主要经济技术指标</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项目设计主要经济技术指标见表1-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 xml:space="preserve">  项目设计主要经济技术指标</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607"/>
              <w:gridCol w:w="1975"/>
              <w:gridCol w:w="1866"/>
              <w:gridCol w:w="2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指标名称</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设计进水水质</w:t>
                  </w:r>
                </w:p>
              </w:tc>
              <w:tc>
                <w:tcPr>
                  <w:tcW w:w="6762" w:type="dxa"/>
                  <w:gridSpan w:val="3"/>
                  <w:noWrap/>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根据繁峙县污水处理厂化验数据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330</w:t>
                  </w:r>
                </w:p>
              </w:tc>
              <w:tc>
                <w:tcPr>
                  <w:tcW w:w="2921" w:type="dxa"/>
                  <w:noWrap/>
                  <w:vAlign w:val="center"/>
                </w:tcPr>
                <w:p>
                  <w:pPr>
                    <w:pStyle w:val="384"/>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169</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pStyle w:val="38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2921" w:type="dxa"/>
                  <w:noWrap/>
                  <w:vAlign w:val="center"/>
                </w:tcPr>
                <w:p>
                  <w:pPr>
                    <w:pStyle w:val="384"/>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2921" w:type="dxa"/>
                  <w:noWrap/>
                  <w:vAlign w:val="center"/>
                </w:tcPr>
                <w:p>
                  <w:pPr>
                    <w:pStyle w:val="384"/>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2921" w:type="dxa"/>
                  <w:noWrap/>
                  <w:vAlign w:val="center"/>
                </w:tcPr>
                <w:p>
                  <w:pPr>
                    <w:pStyle w:val="384"/>
                    <w:spacing w:line="240" w:lineRule="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设计出水水质</w:t>
                  </w:r>
                </w:p>
              </w:tc>
              <w:tc>
                <w:tcPr>
                  <w:tcW w:w="6762"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CODcr、TP、NH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-N执行</w:t>
                  </w:r>
                  <w:r>
                    <w:rPr>
                      <w:rFonts w:hint="default" w:ascii="Times New Roman" w:hAnsi="Times New Roman" w:eastAsia="宋体" w:cs="Times New Roman"/>
                      <w:color w:val="auto"/>
                      <w:sz w:val="21"/>
                      <w:szCs w:val="21"/>
                      <w:lang w:val="en-US" w:eastAsia="zh-CN"/>
                    </w:rPr>
                    <w:t>《山西省地方标准污水综合排放标准》（DB14/1928-2019）中表2</w:t>
                  </w:r>
                  <w:r>
                    <w:rPr>
                      <w:rFonts w:hint="default" w:ascii="Times New Roman" w:hAnsi="Times New Roman" w:eastAsia="宋体" w:cs="Times New Roman"/>
                      <w:color w:val="auto"/>
                      <w:sz w:val="21"/>
                      <w:szCs w:val="21"/>
                    </w:rPr>
                    <w:t>标准，其余指标执行</w:t>
                  </w:r>
                  <w:r>
                    <w:rPr>
                      <w:rStyle w:val="91"/>
                      <w:rFonts w:hint="default" w:ascii="Times New Roman" w:hAnsi="Times New Roman" w:eastAsia="宋体" w:cs="Times New Roman"/>
                      <w:color w:val="auto"/>
                      <w:sz w:val="21"/>
                      <w:szCs w:val="21"/>
                      <w:lang w:eastAsia="zh-CN"/>
                    </w:rPr>
                    <w:t>《城镇污水处理站污染物排放标准》</w:t>
                  </w:r>
                  <w:r>
                    <w:rPr>
                      <w:rStyle w:val="91"/>
                      <w:rFonts w:hint="default" w:ascii="Times New Roman" w:hAnsi="Times New Roman" w:eastAsia="宋体" w:cs="Times New Roman"/>
                      <w:color w:val="auto"/>
                      <w:sz w:val="21"/>
                      <w:szCs w:val="21"/>
                    </w:rPr>
                    <w:t>（GB18918-2002）一级A标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2921"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《山西省地方标准污水综合排放标准》（DB14/1928-2019）中表2</w:t>
                  </w:r>
                  <w:r>
                    <w:rPr>
                      <w:rFonts w:hint="default" w:ascii="Times New Roman" w:hAnsi="Times New Roman" w:eastAsia="宋体" w:cs="Times New Roman"/>
                      <w:color w:val="auto"/>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pStyle w:val="38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292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92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921"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《城镇污水处理站污染物排放标准》</w:t>
                  </w:r>
                  <w:r>
                    <w:rPr>
                      <w:rFonts w:hint="default" w:ascii="Times New Roman" w:hAnsi="Times New Roman" w:eastAsia="宋体" w:cs="Times New Roman"/>
                      <w:color w:val="auto"/>
                      <w:sz w:val="21"/>
                      <w:szCs w:val="21"/>
                    </w:rPr>
                    <w:t>（GB18918-2002）一级A标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92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92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3333</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年工作天数</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365</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劳动定员</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经济指标</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工程总投资</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1451.25</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0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w:t>
                  </w:r>
                </w:p>
              </w:tc>
              <w:tc>
                <w:tcPr>
                  <w:tcW w:w="197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186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w:t>
                  </w:r>
                </w:p>
              </w:tc>
              <w:tc>
                <w:tcPr>
                  <w:tcW w:w="2921" w:type="dxa"/>
                  <w:noWrap/>
                  <w:vAlign w:val="center"/>
                </w:tcPr>
                <w:p>
                  <w:pPr>
                    <w:spacing w:line="24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val="0"/>
              <w:autoSpaceDN w:val="0"/>
              <w:bidi w:val="0"/>
              <w:adjustRightInd/>
              <w:snapToGrid w:val="0"/>
              <w:spacing w:line="480" w:lineRule="exact"/>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1.8环保投资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加强建设项目的环境管理，防止环境污染，减轻或防止环境质量下降，根据建设项目环境保护设计规定的要求，建设项目的环保设施必须与主体工程同时设计、同时施工、同时投产，同时应保证环保投资的足额及时到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本项目总投资1451.25元，经统计估算，该工程用于环境保护的建设投资为67.5万元，占项目总投资的4.65%。各类环保设施组成、投资估算情况详见表1-</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default" w:ascii="Times New Roman" w:hAnsi="Times New Roman" w:eastAsia="宋体" w:cs="Times New Roman"/>
                <w:b/>
                <w:bCs/>
                <w:color w:val="auto"/>
                <w:sz w:val="24"/>
                <w:lang w:val="en-US" w:eastAsia="zh-CN"/>
              </w:rPr>
              <w:t>9</w:t>
            </w:r>
            <w:r>
              <w:rPr>
                <w:rFonts w:hint="default" w:ascii="Times New Roman" w:hAnsi="Times New Roman" w:eastAsia="宋体" w:cs="Times New Roman"/>
                <w:b/>
                <w:bCs/>
                <w:color w:val="auto"/>
                <w:sz w:val="24"/>
              </w:rPr>
              <w:t xml:space="preserve">  环保投资一览表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5"/>
              <w:gridCol w:w="1290"/>
              <w:gridCol w:w="1673"/>
              <w:gridCol w:w="4721"/>
              <w:gridCol w:w="7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tcBorders>
                    <w:tl2br w:val="nil"/>
                    <w:tr2bl w:val="nil"/>
                  </w:tcBorders>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类型</w:t>
                  </w:r>
                </w:p>
              </w:tc>
              <w:tc>
                <w:tcPr>
                  <w:tcW w:w="1290"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污染源</w:t>
                  </w:r>
                </w:p>
              </w:tc>
              <w:tc>
                <w:tcPr>
                  <w:tcW w:w="1673"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污染物</w:t>
                  </w:r>
                </w:p>
              </w:tc>
              <w:tc>
                <w:tcPr>
                  <w:tcW w:w="4721"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治理措施</w:t>
                  </w:r>
                </w:p>
              </w:tc>
              <w:tc>
                <w:tcPr>
                  <w:tcW w:w="712"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费用万元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tcBorders>
                    <w:tl2br w:val="nil"/>
                    <w:tr2bl w:val="nil"/>
                  </w:tcBorders>
                  <w:vAlign w:val="center"/>
                </w:tcPr>
                <w:p>
                  <w:pPr>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废气</w:t>
                  </w:r>
                </w:p>
              </w:tc>
              <w:tc>
                <w:tcPr>
                  <w:tcW w:w="1290"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生活污水应急处理站</w:t>
                  </w:r>
                </w:p>
              </w:tc>
              <w:tc>
                <w:tcPr>
                  <w:tcW w:w="1673"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4721"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b w:val="0"/>
                      <w:color w:val="auto"/>
                      <w:sz w:val="21"/>
                      <w:szCs w:val="21"/>
                      <w:lang w:eastAsia="zh-CN"/>
                    </w:rPr>
                    <w:t>综合车间</w:t>
                  </w:r>
                  <w:r>
                    <w:rPr>
                      <w:rFonts w:hint="default" w:ascii="Times New Roman" w:hAnsi="Times New Roman" w:eastAsia="宋体" w:cs="Times New Roman"/>
                      <w:b w:val="0"/>
                      <w:color w:val="auto"/>
                      <w:sz w:val="21"/>
                      <w:szCs w:val="21"/>
                    </w:rPr>
                    <w:t>采用</w:t>
                  </w:r>
                  <w:r>
                    <w:rPr>
                      <w:rFonts w:hint="default" w:ascii="Times New Roman" w:hAnsi="Times New Roman" w:eastAsia="宋体" w:cs="Times New Roman"/>
                      <w:b w:val="0"/>
                      <w:color w:val="auto"/>
                      <w:sz w:val="21"/>
                      <w:szCs w:val="21"/>
                      <w:lang w:eastAsia="zh-CN"/>
                    </w:rPr>
                    <w:t>光氧活性炭一体机（</w:t>
                  </w:r>
                  <w:r>
                    <w:rPr>
                      <w:rFonts w:hint="default" w:ascii="Times New Roman" w:hAnsi="Times New Roman" w:eastAsia="宋体" w:cs="Times New Roman"/>
                      <w:b w:val="0"/>
                      <w:color w:val="auto"/>
                      <w:sz w:val="21"/>
                      <w:szCs w:val="21"/>
                      <w:lang w:val="en-US" w:eastAsia="zh-CN"/>
                    </w:rPr>
                    <w:t>UV光解+活性炭</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吸附</w:t>
                  </w:r>
                  <w:r>
                    <w:rPr>
                      <w:rFonts w:hint="default" w:ascii="Times New Roman" w:hAnsi="Times New Roman" w:eastAsia="宋体" w:cs="Times New Roman"/>
                      <w:b w:val="0"/>
                      <w:color w:val="auto"/>
                      <w:sz w:val="21"/>
                      <w:szCs w:val="21"/>
                      <w:lang w:eastAsia="zh-CN"/>
                    </w:rPr>
                    <w:t>后经</w:t>
                  </w:r>
                  <w:r>
                    <w:rPr>
                      <w:rFonts w:hint="default" w:ascii="Times New Roman" w:hAnsi="Times New Roman" w:eastAsia="宋体" w:cs="Times New Roman"/>
                      <w:b w:val="0"/>
                      <w:color w:val="auto"/>
                      <w:sz w:val="21"/>
                      <w:szCs w:val="21"/>
                      <w:lang w:val="en-US" w:eastAsia="zh-CN"/>
                    </w:rPr>
                    <w:t>15m排气筒排放</w:t>
                  </w:r>
                  <w:r>
                    <w:rPr>
                      <w:rFonts w:hint="default" w:ascii="Times New Roman" w:hAnsi="Times New Roman" w:eastAsia="宋体" w:cs="Times New Roman"/>
                      <w:b w:val="0"/>
                      <w:color w:val="auto"/>
                      <w:sz w:val="21"/>
                      <w:szCs w:val="21"/>
                    </w:rPr>
                    <w:t>；格栅</w:t>
                  </w:r>
                  <w:r>
                    <w:rPr>
                      <w:rFonts w:hint="default" w:ascii="Times New Roman" w:hAnsi="Times New Roman" w:eastAsia="宋体" w:cs="Times New Roman"/>
                      <w:b w:val="0"/>
                      <w:color w:val="auto"/>
                      <w:sz w:val="21"/>
                      <w:szCs w:val="21"/>
                      <w:lang w:eastAsia="zh-CN"/>
                    </w:rPr>
                    <w:t>机、压滤机等</w:t>
                  </w:r>
                  <w:r>
                    <w:rPr>
                      <w:rFonts w:hint="default" w:ascii="Times New Roman" w:hAnsi="Times New Roman" w:eastAsia="宋体" w:cs="Times New Roman"/>
                      <w:b w:val="0"/>
                      <w:color w:val="auto"/>
                      <w:sz w:val="21"/>
                      <w:szCs w:val="21"/>
                    </w:rPr>
                    <w:t>设于建筑物内，设置排风机换气；</w:t>
                  </w:r>
                  <w:r>
                    <w:rPr>
                      <w:rFonts w:hint="default" w:ascii="Times New Roman" w:hAnsi="Times New Roman" w:eastAsia="宋体" w:cs="Times New Roman"/>
                      <w:b w:val="0"/>
                      <w:color w:val="auto"/>
                      <w:sz w:val="21"/>
                      <w:szCs w:val="21"/>
                      <w:lang w:eastAsia="zh-CN"/>
                    </w:rPr>
                    <w:t>各类池体均加盖处理；</w:t>
                  </w:r>
                  <w:r>
                    <w:rPr>
                      <w:rFonts w:hint="default" w:ascii="Times New Roman" w:hAnsi="Times New Roman" w:eastAsia="宋体" w:cs="Times New Roman"/>
                      <w:b w:val="0"/>
                      <w:color w:val="auto"/>
                      <w:sz w:val="21"/>
                      <w:szCs w:val="21"/>
                    </w:rPr>
                    <w:t>加强日常运行管理、加强绿化、确保满足卫生防护距离的要求</w:t>
                  </w:r>
                </w:p>
              </w:tc>
              <w:tc>
                <w:tcPr>
                  <w:tcW w:w="712"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lang w:val="en-US" w:eastAsia="zh-CN"/>
                    </w:rPr>
                  </w:pPr>
                  <w:r>
                    <w:rPr>
                      <w:rFonts w:hint="default" w:ascii="Times New Roman" w:hAnsi="Times New Roman" w:eastAsia="宋体" w:cs="Times New Roman"/>
                      <w:color w:val="auto"/>
                      <w:kern w:val="0"/>
                      <w:sz w:val="21"/>
                      <w:szCs w:val="21"/>
                      <w:u w:color="000000"/>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vMerge w:val="restart"/>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废水</w:t>
                  </w:r>
                </w:p>
              </w:tc>
              <w:tc>
                <w:tcPr>
                  <w:tcW w:w="1290"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职工生活</w:t>
                  </w:r>
                </w:p>
              </w:tc>
              <w:tc>
                <w:tcPr>
                  <w:tcW w:w="1673"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vertAlign w:val="subscript"/>
                    </w:rPr>
                  </w:pPr>
                  <w:r>
                    <w:rPr>
                      <w:rFonts w:hint="default" w:ascii="Times New Roman" w:hAnsi="Times New Roman" w:eastAsia="宋体" w:cs="Times New Roman"/>
                      <w:color w:val="auto"/>
                      <w:kern w:val="0"/>
                      <w:sz w:val="21"/>
                      <w:szCs w:val="21"/>
                      <w:u w:color="000000"/>
                    </w:rPr>
                    <w:t>生活污水</w:t>
                  </w:r>
                </w:p>
              </w:tc>
              <w:tc>
                <w:tcPr>
                  <w:tcW w:w="4721"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lang w:eastAsia="zh-CN"/>
                    </w:rPr>
                    <w:t>站内</w:t>
                  </w:r>
                  <w:r>
                    <w:rPr>
                      <w:rFonts w:hint="default" w:ascii="Times New Roman" w:hAnsi="Times New Roman" w:eastAsia="宋体" w:cs="Times New Roman"/>
                      <w:color w:val="auto"/>
                      <w:kern w:val="0"/>
                      <w:sz w:val="21"/>
                      <w:szCs w:val="21"/>
                      <w:u w:color="000000"/>
                    </w:rPr>
                    <w:t>生活污水与污水处理厂来水一并排入项目污水处理系统处理；</w:t>
                  </w:r>
                </w:p>
              </w:tc>
              <w:tc>
                <w:tcPr>
                  <w:tcW w:w="712"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vMerge w:val="continue"/>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p>
              </w:tc>
              <w:tc>
                <w:tcPr>
                  <w:tcW w:w="1290"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生活污水应急处理站</w:t>
                  </w:r>
                </w:p>
              </w:tc>
              <w:tc>
                <w:tcPr>
                  <w:tcW w:w="1673"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生活污水应急处理站尾水</w:t>
                  </w:r>
                </w:p>
              </w:tc>
              <w:tc>
                <w:tcPr>
                  <w:tcW w:w="4721"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达标尾水排入滹沱河</w:t>
                  </w:r>
                </w:p>
              </w:tc>
              <w:tc>
                <w:tcPr>
                  <w:tcW w:w="712"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vMerge w:val="restart"/>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固体废物</w:t>
                  </w:r>
                </w:p>
              </w:tc>
              <w:tc>
                <w:tcPr>
                  <w:tcW w:w="1290"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职工生活</w:t>
                  </w:r>
                </w:p>
              </w:tc>
              <w:tc>
                <w:tcPr>
                  <w:tcW w:w="1673"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职工生活垃圾</w:t>
                  </w:r>
                </w:p>
              </w:tc>
              <w:tc>
                <w:tcPr>
                  <w:tcW w:w="4721"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经收集装置收集后委托环卫部门统一处理</w:t>
                  </w:r>
                </w:p>
              </w:tc>
              <w:tc>
                <w:tcPr>
                  <w:tcW w:w="712" w:type="dxa"/>
                  <w:tcBorders>
                    <w:tl2br w:val="nil"/>
                    <w:tr2bl w:val="nil"/>
                  </w:tcBorders>
                  <w:vAlign w:val="center"/>
                </w:tcPr>
                <w:p>
                  <w:pPr>
                    <w:adjustRightInd w:val="0"/>
                    <w:snapToGrid w:val="0"/>
                    <w:spacing w:line="240" w:lineRule="auto"/>
                    <w:ind w:left="-105" w:leftChars="-50" w:right="-105" w:rightChars="-50"/>
                    <w:jc w:val="center"/>
                    <w:textAlignment w:val="baseline"/>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iCs/>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vMerge w:val="continue"/>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p>
              </w:tc>
              <w:tc>
                <w:tcPr>
                  <w:tcW w:w="1290" w:type="dxa"/>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格栅池</w:t>
                  </w:r>
                </w:p>
              </w:tc>
              <w:tc>
                <w:tcPr>
                  <w:tcW w:w="1673"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snapToGrid w:val="0"/>
                      <w:color w:val="auto"/>
                      <w:kern w:val="0"/>
                      <w:sz w:val="21"/>
                      <w:szCs w:val="21"/>
                    </w:rPr>
                    <w:t>格栅渣</w:t>
                  </w:r>
                </w:p>
              </w:tc>
              <w:tc>
                <w:tcPr>
                  <w:tcW w:w="4721"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经收集装置收集后委托环卫部门统一处理</w:t>
                  </w:r>
                </w:p>
              </w:tc>
              <w:tc>
                <w:tcPr>
                  <w:tcW w:w="712"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iCs/>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vMerge w:val="continue"/>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p>
              </w:tc>
              <w:tc>
                <w:tcPr>
                  <w:tcW w:w="1290" w:type="dxa"/>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污泥池</w:t>
                  </w:r>
                </w:p>
              </w:tc>
              <w:tc>
                <w:tcPr>
                  <w:tcW w:w="1673"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Cs/>
                      <w:color w:val="auto"/>
                      <w:sz w:val="21"/>
                      <w:szCs w:val="21"/>
                    </w:rPr>
                    <w:t>污泥</w:t>
                  </w:r>
                </w:p>
              </w:tc>
              <w:tc>
                <w:tcPr>
                  <w:tcW w:w="4721"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kern w:val="2"/>
                      <w:sz w:val="21"/>
                      <w:szCs w:val="21"/>
                      <w:lang w:val="en-US" w:eastAsia="zh-CN" w:bidi="ar-SA"/>
                    </w:rPr>
                  </w:pPr>
                  <w:r>
                    <w:rPr>
                      <w:rFonts w:hint="default" w:ascii="Times New Roman" w:hAnsi="Times New Roman" w:eastAsia="宋体" w:cs="Times New Roman"/>
                      <w:color w:val="auto"/>
                      <w:sz w:val="21"/>
                      <w:szCs w:val="21"/>
                    </w:rPr>
                    <w:t>污泥脱水采用叠螺式脱水机，经浓缩脱水的污泥外运做</w:t>
                  </w:r>
                  <w:r>
                    <w:rPr>
                      <w:rFonts w:hint="default" w:ascii="Times New Roman" w:hAnsi="Times New Roman" w:eastAsia="宋体" w:cs="Times New Roman"/>
                      <w:color w:val="auto"/>
                      <w:sz w:val="21"/>
                      <w:szCs w:val="21"/>
                      <w:lang w:eastAsia="zh-CN"/>
                    </w:rPr>
                    <w:t>至生活垃圾填埋场</w:t>
                  </w:r>
                </w:p>
              </w:tc>
              <w:tc>
                <w:tcPr>
                  <w:tcW w:w="712" w:type="dxa"/>
                  <w:tcBorders>
                    <w:tl2br w:val="nil"/>
                    <w:tr2bl w:val="nil"/>
                  </w:tcBorders>
                  <w:vAlign w:val="center"/>
                </w:tcPr>
                <w:p>
                  <w:pPr>
                    <w:spacing w:line="240" w:lineRule="auto"/>
                    <w:jc w:val="center"/>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vMerge w:val="continue"/>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p>
              </w:tc>
              <w:tc>
                <w:tcPr>
                  <w:tcW w:w="1290" w:type="dxa"/>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sz w:val="21"/>
                      <w:szCs w:val="21"/>
                      <w:lang w:eastAsia="zh-CN"/>
                    </w:rPr>
                    <w:t>光氧活性炭一体机</w:t>
                  </w:r>
                </w:p>
              </w:tc>
              <w:tc>
                <w:tcPr>
                  <w:tcW w:w="1673"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废活性炭、废紫外线灯管</w:t>
                  </w:r>
                </w:p>
              </w:tc>
              <w:tc>
                <w:tcPr>
                  <w:tcW w:w="4721" w:type="dxa"/>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color w:val="auto"/>
                      <w:sz w:val="21"/>
                      <w:szCs w:val="21"/>
                      <w:lang w:eastAsia="zh-CN"/>
                    </w:rPr>
                    <w:t>设</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危险废物暂存间暂存，定期交由资质单位处置</w:t>
                  </w:r>
                </w:p>
              </w:tc>
              <w:tc>
                <w:tcPr>
                  <w:tcW w:w="71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噪声</w:t>
                  </w:r>
                </w:p>
              </w:tc>
              <w:tc>
                <w:tcPr>
                  <w:tcW w:w="1290" w:type="dxa"/>
                  <w:tcBorders>
                    <w:tl2br w:val="nil"/>
                    <w:tr2bl w:val="nil"/>
                  </w:tcBorders>
                  <w:vAlign w:val="center"/>
                </w:tcPr>
                <w:p>
                  <w:pPr>
                    <w:adjustRightInd w:val="0"/>
                    <w:snapToGrid w:val="0"/>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生产设备</w:t>
                  </w:r>
                </w:p>
              </w:tc>
              <w:tc>
                <w:tcPr>
                  <w:tcW w:w="167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噪声</w:t>
                  </w:r>
                </w:p>
              </w:tc>
              <w:tc>
                <w:tcPr>
                  <w:tcW w:w="4721"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选用低噪设备、基础减振、厂房隔声和距离衰减</w:t>
                  </w:r>
                </w:p>
              </w:tc>
              <w:tc>
                <w:tcPr>
                  <w:tcW w:w="712"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5" w:type="dxa"/>
                  <w:tcBorders>
                    <w:tl2br w:val="nil"/>
                    <w:tr2bl w:val="nil"/>
                  </w:tcBorders>
                  <w:vAlign w:val="center"/>
                </w:tcPr>
                <w:p>
                  <w:pPr>
                    <w:widowControl/>
                    <w:adjustRightInd w:val="0"/>
                    <w:snapToGrid w:val="0"/>
                    <w:spacing w:line="240" w:lineRule="auto"/>
                    <w:jc w:val="center"/>
                    <w:textAlignment w:val="baseline"/>
                    <w:rPr>
                      <w:rFonts w:hint="default" w:ascii="Times New Roman" w:hAnsi="Times New Roman" w:eastAsia="宋体" w:cs="Times New Roman"/>
                      <w:color w:val="auto"/>
                      <w:kern w:val="0"/>
                      <w:sz w:val="21"/>
                      <w:szCs w:val="21"/>
                      <w:u w:color="000000"/>
                    </w:rPr>
                  </w:pPr>
                  <w:r>
                    <w:rPr>
                      <w:rFonts w:hint="default" w:ascii="Times New Roman" w:hAnsi="Times New Roman" w:eastAsia="宋体" w:cs="Times New Roman"/>
                      <w:color w:val="auto"/>
                      <w:kern w:val="0"/>
                      <w:sz w:val="21"/>
                      <w:szCs w:val="21"/>
                      <w:u w:color="000000"/>
                    </w:rPr>
                    <w:t>生态</w:t>
                  </w:r>
                </w:p>
              </w:tc>
              <w:tc>
                <w:tcPr>
                  <w:tcW w:w="1290" w:type="dxa"/>
                  <w:tcBorders>
                    <w:tl2br w:val="nil"/>
                    <w:tr2bl w:val="nil"/>
                  </w:tcBorders>
                  <w:vAlign w:val="center"/>
                </w:tcPr>
                <w:p>
                  <w:pPr>
                    <w:adjustRightInd w:val="0"/>
                    <w:snapToGrid w:val="0"/>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绿化</w:t>
                  </w:r>
                </w:p>
              </w:tc>
              <w:tc>
                <w:tcPr>
                  <w:tcW w:w="6394" w:type="dxa"/>
                  <w:gridSpan w:val="2"/>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绿化面积为</w:t>
                  </w:r>
                  <w:r>
                    <w:rPr>
                      <w:rFonts w:hint="default" w:ascii="Times New Roman" w:hAnsi="Times New Roman" w:eastAsia="宋体" w:cs="Times New Roman"/>
                      <w:bCs/>
                      <w:color w:val="auto"/>
                      <w:sz w:val="21"/>
                      <w:szCs w:val="21"/>
                    </w:rPr>
                    <w:t>1000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712"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9" w:type="dxa"/>
                  <w:gridSpan w:val="4"/>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712" w:type="dxa"/>
                  <w:tcBorders>
                    <w:tl2br w:val="nil"/>
                    <w:tr2bl w:val="nil"/>
                  </w:tcBorders>
                  <w:vAlign w:val="center"/>
                </w:tcPr>
                <w:p>
                  <w:pPr>
                    <w:widowControl/>
                    <w:autoSpaceDE w:val="0"/>
                    <w:autoSpaceDN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35" w:hRule="atLeast"/>
          <w:jc w:val="center"/>
        </w:trPr>
        <w:tc>
          <w:tcPr>
            <w:tcW w:w="9457" w:type="dxa"/>
            <w:gridSpan w:val="8"/>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宋体" w:cs="Times New Roman"/>
                <w:b/>
                <w:bCs/>
                <w:color w:val="auto"/>
                <w:sz w:val="28"/>
                <w:szCs w:val="36"/>
              </w:rPr>
            </w:pPr>
            <w:r>
              <w:rPr>
                <w:rFonts w:hint="default" w:ascii="Times New Roman" w:hAnsi="Times New Roman" w:eastAsia="宋体" w:cs="Times New Roman"/>
                <w:b/>
                <w:bCs/>
                <w:color w:val="auto"/>
                <w:sz w:val="28"/>
                <w:szCs w:val="36"/>
              </w:rPr>
              <w:t>与本项目有关的原有污染情况及主要环境问题：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rPr>
              <w:t>本项目所用地均为耕地，不占用基本农田，无原有环境遗留问题</w:t>
            </w:r>
            <w:r>
              <w:rPr>
                <w:rFonts w:hint="default" w:ascii="Times New Roman" w:hAnsi="Times New Roman" w:eastAsia="宋体" w:cs="Times New Roman"/>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32"/>
                <w:lang w:val="en-US" w:eastAsia="zh-CN"/>
              </w:rPr>
              <w:t>2020年6月12日，繁峙县住房和城乡建设管理局以繁建函【2020】74号文出具了“关于山西省繁峙县3000m³生活污水应急处理站项目位置的意见”，原则上同意此项目位置选址，同意办理前期相关手续；2020年6月24日，繁峙县自然资源局以繁自然资函【2020】110号文出具了“关于山西省繁峙县3000m³生活污水应急处理站项目的用地意见”，表明该拟选址位置已列入繁峙县国土空间规划城镇开发边界范围内，需办理建设用地报批手续，目前建设单位正在办理建设用地手续。</w:t>
            </w:r>
          </w:p>
        </w:tc>
      </w:tr>
    </w:tbl>
    <w:p>
      <w:pPr>
        <w:spacing w:line="20" w:lineRule="exact"/>
        <w:rPr>
          <w:rFonts w:hint="default" w:ascii="Times New Roman" w:hAnsi="Times New Roman" w:eastAsia="宋体" w:cs="Times New Roman"/>
          <w:color w:val="auto"/>
          <w:sz w:val="28"/>
        </w:rPr>
        <w:sectPr>
          <w:headerReference r:id="rId9" w:type="default"/>
          <w:footerReference r:id="rId10" w:type="default"/>
          <w:pgSz w:w="11906" w:h="16838"/>
          <w:pgMar w:top="1361" w:right="1474" w:bottom="1361" w:left="1474" w:header="907" w:footer="1134" w:gutter="0"/>
          <w:pgBorders>
            <w:top w:val="none" w:sz="0" w:space="0"/>
            <w:left w:val="none" w:sz="0" w:space="0"/>
            <w:bottom w:val="none" w:sz="0" w:space="0"/>
            <w:right w:val="none" w:sz="0" w:space="0"/>
          </w:pgBorders>
          <w:pgNumType w:start="1"/>
          <w:cols w:space="720" w:num="1"/>
          <w:docGrid w:type="lines" w:linePitch="312" w:charSpace="0"/>
        </w:sectPr>
      </w:pPr>
    </w:p>
    <w:p>
      <w:pPr>
        <w:keepNext/>
        <w:keepLines/>
        <w:widowControl/>
        <w:spacing w:line="600" w:lineRule="exact"/>
        <w:outlineLvl w:val="1"/>
        <w:rPr>
          <w:rFonts w:hint="default" w:ascii="Times New Roman" w:hAnsi="Times New Roman" w:eastAsia="宋体" w:cs="Times New Roman"/>
          <w:b/>
          <w:bCs/>
          <w:color w:val="auto"/>
          <w:kern w:val="0"/>
          <w:sz w:val="32"/>
          <w:szCs w:val="32"/>
          <w:lang w:val="zh-CN"/>
        </w:rPr>
      </w:pPr>
      <w:r>
        <w:rPr>
          <w:rFonts w:hint="default" w:ascii="Times New Roman" w:hAnsi="Times New Roman" w:eastAsia="宋体" w:cs="Times New Roman"/>
          <w:b/>
          <w:bCs/>
          <w:color w:val="auto"/>
          <w:sz w:val="30"/>
          <w:szCs w:val="30"/>
        </w:rPr>
        <w:drawing>
          <wp:anchor distT="0" distB="0" distL="114300" distR="114300" simplePos="0" relativeHeight="251659264" behindDoc="0" locked="0" layoutInCell="1" allowOverlap="1">
            <wp:simplePos x="0" y="0"/>
            <wp:positionH relativeFrom="column">
              <wp:posOffset>-13559790</wp:posOffset>
            </wp:positionH>
            <wp:positionV relativeFrom="paragraph">
              <wp:posOffset>4615180</wp:posOffset>
            </wp:positionV>
            <wp:extent cx="6607175" cy="9332595"/>
            <wp:effectExtent l="0" t="0" r="3175" b="1905"/>
            <wp:wrapNone/>
            <wp:docPr id="228"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607175" cy="9332595"/>
                    </a:xfrm>
                    <a:prstGeom prst="rect">
                      <a:avLst/>
                    </a:prstGeom>
                    <a:noFill/>
                    <a:ln>
                      <a:noFill/>
                    </a:ln>
                  </pic:spPr>
                </pic:pic>
              </a:graphicData>
            </a:graphic>
          </wp:anchor>
        </w:drawing>
      </w:r>
      <w:r>
        <w:rPr>
          <w:rFonts w:hint="default" w:ascii="Times New Roman" w:hAnsi="Times New Roman" w:eastAsia="宋体" w:cs="Times New Roman"/>
          <w:b/>
          <w:bCs/>
          <w:color w:val="auto"/>
          <w:kern w:val="0"/>
          <w:sz w:val="30"/>
          <w:szCs w:val="30"/>
          <w:lang w:val="zh-CN"/>
        </w:rPr>
        <w:t>建设项目所在地自然环境社会环境简况</w:t>
      </w:r>
      <w:r>
        <w:rPr>
          <w:rFonts w:hint="default" w:ascii="Times New Roman" w:hAnsi="Times New Roman" w:eastAsia="宋体" w:cs="Times New Roman"/>
          <w:b/>
          <w:bCs/>
          <w:color w:val="auto"/>
          <w:kern w:val="0"/>
          <w:sz w:val="32"/>
          <w:szCs w:val="32"/>
          <w:lang w:val="zh-CN"/>
        </w:rPr>
        <w:tab/>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13227" w:hRule="atLeast"/>
          <w:jc w:val="center"/>
        </w:trPr>
        <w:tc>
          <w:tcPr>
            <w:tcW w:w="9174" w:type="dxa"/>
            <w:tcBorders>
              <w:tl2br w:val="nil"/>
              <w:tr2bl w:val="nil"/>
            </w:tcBorders>
          </w:tcPr>
          <w:p>
            <w:pPr>
              <w:pageBreakBefore w:val="0"/>
              <w:widowControl w:val="0"/>
              <w:kinsoku/>
              <w:wordWrap/>
              <w:overflowPunct/>
              <w:topLinePunct w:val="0"/>
              <w:autoSpaceDE/>
              <w:autoSpaceDN/>
              <w:bidi w:val="0"/>
              <w:snapToGrid/>
              <w:spacing w:line="480" w:lineRule="exact"/>
              <w:jc w:val="left"/>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自然环境简况（地形、地貌、地质、气候、气象、水文、植被、生物多样性等）：</w:t>
            </w:r>
          </w:p>
          <w:p>
            <w:pPr>
              <w:pageBreakBefore w:val="0"/>
              <w:widowControl w:val="0"/>
              <w:kinsoku/>
              <w:wordWrap/>
              <w:overflowPunct/>
              <w:topLinePunct w:val="0"/>
              <w:bidi w:val="0"/>
              <w:spacing w:line="480" w:lineRule="exact"/>
              <w:ind w:firstLine="482" w:firstLineChars="200"/>
              <w:jc w:val="left"/>
              <w:textAlignment w:val="auto"/>
              <w:rPr>
                <w:rFonts w:hint="default" w:ascii="Times New Roman" w:hAnsi="Times New Roman" w:eastAsia="宋体" w:cs="Times New Roman"/>
                <w:color w:val="auto"/>
                <w:sz w:val="24"/>
              </w:rPr>
            </w:pPr>
            <w:r>
              <w:rPr>
                <w:rFonts w:hint="eastAsia" w:cs="Times New Roman"/>
                <w:b/>
                <w:bCs/>
                <w:color w:val="auto"/>
                <w:sz w:val="24"/>
                <w:lang w:eastAsia="zh-CN"/>
              </w:rPr>
              <w:t>略</w:t>
            </w:r>
            <w:r>
              <w:rPr>
                <w:rFonts w:hint="default" w:ascii="Times New Roman" w:hAnsi="Times New Roman" w:eastAsia="宋体" w:cs="Times New Roman"/>
                <w:color w:val="auto"/>
                <w:sz w:val="24"/>
              </w:rPr>
              <w:t>。</w:t>
            </w:r>
          </w:p>
          <w:p>
            <w:pPr>
              <w:spacing w:line="480" w:lineRule="exact"/>
              <w:rPr>
                <w:rFonts w:hint="default" w:ascii="Times New Roman" w:hAnsi="Times New Roman" w:eastAsia="宋体" w:cs="Times New Roman"/>
                <w:color w:val="auto"/>
                <w:sz w:val="28"/>
                <w:szCs w:val="28"/>
              </w:rPr>
            </w:pPr>
          </w:p>
          <w:p>
            <w:pPr>
              <w:spacing w:line="480" w:lineRule="exact"/>
              <w:rPr>
                <w:rFonts w:hint="default" w:ascii="Times New Roman" w:hAnsi="Times New Roman" w:eastAsia="宋体" w:cs="Times New Roman"/>
                <w:color w:val="auto"/>
                <w:sz w:val="28"/>
                <w:szCs w:val="28"/>
              </w:rPr>
            </w:pPr>
          </w:p>
        </w:tc>
      </w:tr>
    </w:tbl>
    <w:p>
      <w:pPr>
        <w:keepNext/>
        <w:keepLines/>
        <w:widowControl/>
        <w:spacing w:line="360" w:lineRule="auto"/>
        <w:outlineLvl w:val="1"/>
        <w:rPr>
          <w:rFonts w:hint="default" w:ascii="Times New Roman" w:hAnsi="Times New Roman" w:eastAsia="宋体" w:cs="Times New Roman"/>
          <w:b/>
          <w:color w:val="auto"/>
          <w:kern w:val="0"/>
          <w:sz w:val="30"/>
          <w:szCs w:val="30"/>
          <w:lang w:val="zh-CN"/>
        </w:rPr>
        <w:sectPr>
          <w:pgSz w:w="11906" w:h="16838"/>
          <w:pgMar w:top="1361" w:right="1474" w:bottom="1361" w:left="1474" w:header="907" w:footer="1134" w:gutter="0"/>
          <w:pgBorders>
            <w:top w:val="none" w:sz="0" w:space="0"/>
            <w:left w:val="none" w:sz="0" w:space="0"/>
            <w:bottom w:val="none" w:sz="0" w:space="0"/>
            <w:right w:val="none" w:sz="0" w:space="0"/>
          </w:pgBorders>
          <w:cols w:space="720" w:num="1"/>
          <w:docGrid w:type="lines" w:linePitch="312" w:charSpace="0"/>
        </w:sectPr>
      </w:pPr>
    </w:p>
    <w:p>
      <w:pPr>
        <w:keepNext/>
        <w:keepLines/>
        <w:widowControl/>
        <w:spacing w:line="360" w:lineRule="auto"/>
        <w:outlineLvl w:val="1"/>
        <w:rPr>
          <w:rFonts w:hint="default" w:ascii="Times New Roman" w:hAnsi="Times New Roman" w:eastAsia="宋体" w:cs="Times New Roman"/>
          <w:b/>
          <w:color w:val="auto"/>
          <w:kern w:val="0"/>
          <w:sz w:val="30"/>
          <w:szCs w:val="30"/>
          <w:lang w:val="zh-CN"/>
        </w:rPr>
      </w:pPr>
      <w:r>
        <w:rPr>
          <w:rFonts w:hint="default" w:ascii="Times New Roman" w:hAnsi="Times New Roman" w:eastAsia="宋体" w:cs="Times New Roman"/>
          <w:b/>
          <w:color w:val="auto"/>
          <w:kern w:val="0"/>
          <w:sz w:val="30"/>
          <w:szCs w:val="30"/>
          <w:lang w:val="zh-CN"/>
        </w:rPr>
        <w:t>环境质量现状</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12630" w:hRule="atLeast"/>
          <w:jc w:val="center"/>
        </w:trPr>
        <w:tc>
          <w:tcPr>
            <w:tcW w:w="9219"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建设项目所在地区环境质量现状及主要环境问题（环境空气、地面水、地下水、声环境、生态环境等）</w:t>
            </w:r>
          </w:p>
          <w:p>
            <w:pPr>
              <w:keepNext w:val="0"/>
              <w:keepLines w:val="0"/>
              <w:pageBreakBefore w:val="0"/>
              <w:widowControl w:val="0"/>
              <w:kinsoku/>
              <w:wordWrap/>
              <w:overflowPunct/>
              <w:topLinePunct w:val="0"/>
              <w:bidi w:val="0"/>
              <w:snapToGrid/>
              <w:spacing w:line="480" w:lineRule="exact"/>
              <w:ind w:firstLine="482" w:firstLineChars="200"/>
              <w:jc w:val="left"/>
              <w:rPr>
                <w:rFonts w:hint="eastAsia" w:ascii="Times New Roman" w:hAnsi="Times New Roman" w:eastAsia="宋体" w:cs="Times New Roman"/>
                <w:color w:val="auto"/>
                <w:kern w:val="0"/>
                <w:sz w:val="24"/>
                <w:szCs w:val="20"/>
                <w:u w:color="000000"/>
                <w:lang w:eastAsia="zh-CN"/>
              </w:rPr>
            </w:pPr>
            <w:r>
              <w:rPr>
                <w:rFonts w:hint="eastAsia" w:cs="Times New Roman"/>
                <w:b/>
                <w:bCs/>
                <w:color w:val="auto"/>
                <w:kern w:val="0"/>
                <w:sz w:val="24"/>
                <w:szCs w:val="20"/>
                <w:u w:color="000000"/>
                <w:lang w:eastAsia="zh-CN"/>
              </w:rPr>
              <w:t>略。</w:t>
            </w:r>
          </w:p>
        </w:tc>
      </w:tr>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5211" w:hRule="atLeast"/>
          <w:jc w:val="center"/>
        </w:trPr>
        <w:tc>
          <w:tcPr>
            <w:tcW w:w="9219"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b/>
                <w:bCs/>
                <w:color w:val="auto"/>
                <w:sz w:val="28"/>
                <w:szCs w:val="36"/>
              </w:rPr>
            </w:pPr>
            <w:r>
              <w:rPr>
                <w:rFonts w:hint="default" w:ascii="Times New Roman" w:hAnsi="Times New Roman" w:eastAsia="宋体" w:cs="Times New Roman"/>
                <w:b/>
                <w:bCs/>
                <w:color w:val="auto"/>
                <w:sz w:val="28"/>
                <w:szCs w:val="36"/>
              </w:rPr>
              <w:t>主要环境保护目标（列出名单及保护级别）</w:t>
            </w:r>
          </w:p>
          <w:p>
            <w:pPr>
              <w:keepNext w:val="0"/>
              <w:keepLines w:val="0"/>
              <w:pageBreakBefore w:val="0"/>
              <w:widowControl w:val="0"/>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3.7保护级别</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（1）环境空气</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《环境空气质量标准》（GB3095-2012）二类标准。</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（2）地表水</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《地表水环境质量标准》（GB3838-2002）中Ⅲ类标准。</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（3）地下水</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《地下水质量标准》（GB/T14848-2017）Ⅲ类。</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（4）声环境</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《声环境质量标准》（GB3096-2008）2类标准。</w:t>
            </w:r>
          </w:p>
          <w:p>
            <w:pPr>
              <w:keepNext w:val="0"/>
              <w:keepLines w:val="0"/>
              <w:pageBreakBefore w:val="0"/>
              <w:widowControl w:val="0"/>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3.8主要保护目标</w:t>
            </w:r>
          </w:p>
          <w:p>
            <w:pPr>
              <w:pStyle w:val="31"/>
              <w:keepNext w:val="0"/>
              <w:keepLines w:val="0"/>
              <w:pageBreakBefore w:val="0"/>
              <w:widowControl w:val="0"/>
              <w:kinsoku/>
              <w:wordWrap/>
              <w:overflowPunct/>
              <w:topLinePunct w:val="0"/>
              <w:autoSpaceDE/>
              <w:autoSpaceDN/>
              <w:bidi w:val="0"/>
              <w:spacing w:after="0" w:line="480" w:lineRule="exact"/>
              <w:ind w:firstLine="48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根据调查，评价区域内无国家重点及省级风景区、历史文化遗迹等保护区（地），属于农村地区，无特殊环境空气敏感因素，主要环境敏感目标为周围的村庄。因此本次评价确定评价区域内的村庄、河流、集中供水水源地、农田为环境保护目标。具体环境保护目标见下表，主要环境保护目标图见附表3-</w:t>
            </w:r>
            <w:r>
              <w:rPr>
                <w:rFonts w:hint="default" w:ascii="Times New Roman" w:hAnsi="Times New Roman" w:eastAsia="宋体" w:cs="Times New Roman"/>
                <w:color w:val="auto"/>
                <w:sz w:val="24"/>
                <w:szCs w:val="32"/>
                <w:lang w:val="en-US" w:eastAsia="zh-CN"/>
              </w:rPr>
              <w:t>9</w:t>
            </w:r>
            <w:r>
              <w:rPr>
                <w:rFonts w:hint="default" w:ascii="Times New Roman" w:hAnsi="Times New Roman" w:eastAsia="宋体" w:cs="Times New Roman"/>
                <w:color w:val="auto"/>
                <w:sz w:val="24"/>
                <w:szCs w:val="32"/>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表3-</w:t>
            </w:r>
            <w:r>
              <w:rPr>
                <w:rFonts w:hint="default" w:ascii="Times New Roman" w:hAnsi="Times New Roman" w:eastAsia="宋体" w:cs="Times New Roman"/>
                <w:b/>
                <w:color w:val="auto"/>
                <w:sz w:val="24"/>
                <w:szCs w:val="21"/>
                <w:lang w:val="en-US" w:eastAsia="zh-CN"/>
              </w:rPr>
              <w:t>9</w:t>
            </w:r>
            <w:r>
              <w:rPr>
                <w:rFonts w:hint="default" w:ascii="Times New Roman" w:hAnsi="Times New Roman" w:eastAsia="宋体" w:cs="Times New Roman"/>
                <w:b/>
                <w:color w:val="auto"/>
                <w:sz w:val="24"/>
                <w:szCs w:val="21"/>
              </w:rPr>
              <w:t xml:space="preserve">   环境保护目标表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44"/>
              <w:gridCol w:w="1380"/>
              <w:gridCol w:w="1082"/>
              <w:gridCol w:w="2078"/>
              <w:gridCol w:w="919"/>
              <w:gridCol w:w="661"/>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2824" w:type="dxa"/>
                  <w:gridSpan w:val="2"/>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坐标/m</w:t>
                  </w:r>
                </w:p>
              </w:tc>
              <w:tc>
                <w:tcPr>
                  <w:tcW w:w="1082"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对象</w:t>
                  </w:r>
                </w:p>
              </w:tc>
              <w:tc>
                <w:tcPr>
                  <w:tcW w:w="2078"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919"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661"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896"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相对厂界距离（km）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2"/>
                    <w:tabs>
                      <w:tab w:val="left" w:pos="7500"/>
                    </w:tabs>
                    <w:spacing w:after="0" w:line="240" w:lineRule="auto"/>
                    <w:ind w:left="0" w:leftChars="0" w:firstLineChars="0"/>
                    <w:jc w:val="center"/>
                    <w:rPr>
                      <w:rFonts w:hint="default" w:ascii="Times New Roman" w:hAnsi="Times New Roman" w:eastAsia="宋体" w:cs="Times New Roman"/>
                      <w:color w:val="auto"/>
                      <w:sz w:val="21"/>
                      <w:szCs w:val="21"/>
                    </w:rPr>
                  </w:pPr>
                </w:p>
              </w:tc>
              <w:tc>
                <w:tcPr>
                  <w:tcW w:w="1444"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1380"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1082" w:type="dxa"/>
                  <w:vMerge w:val="continue"/>
                  <w:noWrap/>
                  <w:vAlign w:val="center"/>
                </w:tcPr>
                <w:p>
                  <w:pPr>
                    <w:pStyle w:val="2"/>
                    <w:tabs>
                      <w:tab w:val="left" w:pos="7500"/>
                    </w:tabs>
                    <w:spacing w:after="0" w:line="240" w:lineRule="auto"/>
                    <w:ind w:left="0" w:leftChars="0" w:firstLineChars="0"/>
                    <w:jc w:val="center"/>
                    <w:rPr>
                      <w:rFonts w:hint="default" w:ascii="Times New Roman" w:hAnsi="Times New Roman" w:eastAsia="宋体" w:cs="Times New Roman"/>
                      <w:color w:val="auto"/>
                      <w:sz w:val="21"/>
                      <w:szCs w:val="21"/>
                    </w:rPr>
                  </w:pPr>
                </w:p>
              </w:tc>
              <w:tc>
                <w:tcPr>
                  <w:tcW w:w="2078" w:type="dxa"/>
                  <w:vMerge w:val="continue"/>
                  <w:noWrap/>
                  <w:vAlign w:val="center"/>
                </w:tcPr>
                <w:p>
                  <w:pPr>
                    <w:pStyle w:val="2"/>
                    <w:tabs>
                      <w:tab w:val="left" w:pos="7500"/>
                    </w:tabs>
                    <w:spacing w:after="0" w:line="240" w:lineRule="auto"/>
                    <w:ind w:left="0" w:leftChars="0" w:firstLineChars="0"/>
                    <w:jc w:val="center"/>
                    <w:rPr>
                      <w:rFonts w:hint="default" w:ascii="Times New Roman" w:hAnsi="Times New Roman" w:eastAsia="宋体" w:cs="Times New Roman"/>
                      <w:color w:val="auto"/>
                      <w:sz w:val="21"/>
                      <w:szCs w:val="21"/>
                    </w:rPr>
                  </w:pPr>
                </w:p>
              </w:tc>
              <w:tc>
                <w:tcPr>
                  <w:tcW w:w="919" w:type="dxa"/>
                  <w:vMerge w:val="continue"/>
                  <w:noWrap/>
                  <w:vAlign w:val="center"/>
                </w:tcPr>
                <w:p>
                  <w:pPr>
                    <w:pStyle w:val="2"/>
                    <w:tabs>
                      <w:tab w:val="left" w:pos="7500"/>
                    </w:tabs>
                    <w:spacing w:after="0" w:line="240" w:lineRule="auto"/>
                    <w:ind w:left="0" w:leftChars="0" w:firstLineChars="0"/>
                    <w:jc w:val="center"/>
                    <w:rPr>
                      <w:rFonts w:hint="default" w:ascii="Times New Roman" w:hAnsi="Times New Roman" w:eastAsia="宋体" w:cs="Times New Roman"/>
                      <w:color w:val="auto"/>
                      <w:sz w:val="21"/>
                      <w:szCs w:val="21"/>
                    </w:rPr>
                  </w:pPr>
                </w:p>
              </w:tc>
              <w:tc>
                <w:tcPr>
                  <w:tcW w:w="661" w:type="dxa"/>
                  <w:vMerge w:val="continue"/>
                  <w:noWrap/>
                  <w:vAlign w:val="center"/>
                </w:tcPr>
                <w:p>
                  <w:pPr>
                    <w:pStyle w:val="2"/>
                    <w:tabs>
                      <w:tab w:val="left" w:pos="7500"/>
                    </w:tabs>
                    <w:spacing w:after="0" w:line="240" w:lineRule="auto"/>
                    <w:ind w:left="0" w:leftChars="0" w:firstLineChars="0"/>
                    <w:jc w:val="center"/>
                    <w:rPr>
                      <w:rFonts w:hint="default" w:ascii="Times New Roman" w:hAnsi="Times New Roman" w:eastAsia="宋体" w:cs="Times New Roman"/>
                      <w:color w:val="auto"/>
                      <w:sz w:val="21"/>
                      <w:szCs w:val="21"/>
                    </w:rPr>
                  </w:pPr>
                </w:p>
              </w:tc>
              <w:tc>
                <w:tcPr>
                  <w:tcW w:w="896" w:type="dxa"/>
                  <w:vMerge w:val="continue"/>
                  <w:noWrap/>
                  <w:vAlign w:val="center"/>
                </w:tcPr>
                <w:p>
                  <w:pPr>
                    <w:pStyle w:val="2"/>
                    <w:tabs>
                      <w:tab w:val="left" w:pos="7500"/>
                    </w:tabs>
                    <w:spacing w:after="0" w:line="240" w:lineRule="auto"/>
                    <w:ind w:left="0" w:leftChars="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1444"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113°14'1.11"</w:t>
                  </w:r>
                </w:p>
              </w:tc>
              <w:tc>
                <w:tcPr>
                  <w:tcW w:w="1380"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39°10'57.58"</w:t>
                  </w:r>
                </w:p>
              </w:tc>
              <w:tc>
                <w:tcPr>
                  <w:tcW w:w="1082"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笔峰村</w:t>
                  </w:r>
                </w:p>
              </w:tc>
              <w:tc>
                <w:tcPr>
                  <w:tcW w:w="2078" w:type="dxa"/>
                  <w:vMerge w:val="restart"/>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《环境空气质量标准》（GB3095-2012）二级标准</w:t>
                  </w:r>
                </w:p>
              </w:tc>
              <w:tc>
                <w:tcPr>
                  <w:tcW w:w="919"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二类功能区</w:t>
                  </w: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WN</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1444"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113°14'33.92"</w:t>
                  </w:r>
                </w:p>
              </w:tc>
              <w:tc>
                <w:tcPr>
                  <w:tcW w:w="1380"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39°10'8.94"</w:t>
                  </w:r>
                </w:p>
              </w:tc>
              <w:tc>
                <w:tcPr>
                  <w:tcW w:w="1082"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古家庄村</w:t>
                  </w:r>
                </w:p>
              </w:tc>
              <w:tc>
                <w:tcPr>
                  <w:tcW w:w="20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919"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8"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1444"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113°15'52.01"</w:t>
                  </w:r>
                </w:p>
              </w:tc>
              <w:tc>
                <w:tcPr>
                  <w:tcW w:w="1380"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39°11'17.56"</w:t>
                  </w:r>
                </w:p>
              </w:tc>
              <w:tc>
                <w:tcPr>
                  <w:tcW w:w="1082"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繁峙县</w:t>
                  </w:r>
                </w:p>
              </w:tc>
              <w:tc>
                <w:tcPr>
                  <w:tcW w:w="20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919"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1444"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113°15'25.93"</w:t>
                  </w:r>
                </w:p>
              </w:tc>
              <w:tc>
                <w:tcPr>
                  <w:tcW w:w="1380"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 9'40.89"</w:t>
                  </w:r>
                </w:p>
              </w:tc>
              <w:tc>
                <w:tcPr>
                  <w:tcW w:w="1082"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新砂</w:t>
                  </w:r>
                </w:p>
              </w:tc>
              <w:tc>
                <w:tcPr>
                  <w:tcW w:w="20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919"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ES</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1444"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113°16'12.72"</w:t>
                  </w:r>
                </w:p>
              </w:tc>
              <w:tc>
                <w:tcPr>
                  <w:tcW w:w="1380"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39°10'10.26"</w:t>
                  </w:r>
                </w:p>
              </w:tc>
              <w:tc>
                <w:tcPr>
                  <w:tcW w:w="1082"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杏园村</w:t>
                  </w:r>
                </w:p>
              </w:tc>
              <w:tc>
                <w:tcPr>
                  <w:tcW w:w="20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919" w:type="dxa"/>
                  <w:vMerge w:val="continue"/>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ES</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444"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113°14'1.11"</w:t>
                  </w:r>
                </w:p>
              </w:tc>
              <w:tc>
                <w:tcPr>
                  <w:tcW w:w="1380"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39°10'57.58"</w:t>
                  </w:r>
                </w:p>
              </w:tc>
              <w:tc>
                <w:tcPr>
                  <w:tcW w:w="1082"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笔峰村</w:t>
                  </w:r>
                </w:p>
              </w:tc>
              <w:tc>
                <w:tcPr>
                  <w:tcW w:w="2078"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《声环境质量标准》（GB3096-2008）1类标准</w:t>
                  </w:r>
                </w:p>
              </w:tc>
              <w:tc>
                <w:tcPr>
                  <w:tcW w:w="919"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1类功能区</w:t>
                  </w: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WN</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3906" w:type="dxa"/>
                  <w:gridSpan w:val="3"/>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2078"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《声环境质量标准》（GB3096-2008）2类标准</w:t>
                  </w:r>
                </w:p>
              </w:tc>
              <w:tc>
                <w:tcPr>
                  <w:tcW w:w="919"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2类功能区</w:t>
                  </w:r>
                </w:p>
              </w:tc>
              <w:tc>
                <w:tcPr>
                  <w:tcW w:w="661"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96"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8"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906" w:type="dxa"/>
                  <w:gridSpan w:val="3"/>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滹沱河</w:t>
                  </w:r>
                </w:p>
              </w:tc>
              <w:tc>
                <w:tcPr>
                  <w:tcW w:w="2078"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《地表水环境质量标准》（GB3838-2002）中Ⅲ类标准</w:t>
                  </w:r>
                </w:p>
              </w:tc>
              <w:tc>
                <w:tcPr>
                  <w:tcW w:w="919"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Ⅲ类功能区</w:t>
                  </w: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8" w:type="dxa"/>
                  <w:vMerge w:val="restart"/>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3906" w:type="dxa"/>
                  <w:gridSpan w:val="3"/>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本项目周边浅层地下水</w:t>
                  </w:r>
                </w:p>
              </w:tc>
              <w:tc>
                <w:tcPr>
                  <w:tcW w:w="2078" w:type="dxa"/>
                  <w:vMerge w:val="restart"/>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《地下水质量标准》（GB/T14848-2017）Ⅲ类标准</w:t>
                  </w:r>
                </w:p>
              </w:tc>
              <w:tc>
                <w:tcPr>
                  <w:tcW w:w="919" w:type="dxa"/>
                  <w:vMerge w:val="restart"/>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Ⅲ类功能区</w:t>
                  </w:r>
                </w:p>
              </w:tc>
              <w:tc>
                <w:tcPr>
                  <w:tcW w:w="661"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96"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3906" w:type="dxa"/>
                  <w:gridSpan w:val="3"/>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杏园镇集中供水水源地</w:t>
                  </w:r>
                </w:p>
              </w:tc>
              <w:tc>
                <w:tcPr>
                  <w:tcW w:w="2078"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919" w:type="dxa"/>
                  <w:vMerge w:val="continue"/>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p>
              </w:tc>
              <w:tc>
                <w:tcPr>
                  <w:tcW w:w="661"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ES</w:t>
                  </w:r>
                </w:p>
              </w:tc>
              <w:tc>
                <w:tcPr>
                  <w:tcW w:w="896" w:type="dxa"/>
                  <w:noWrap/>
                  <w:vAlign w:val="center"/>
                </w:tcPr>
                <w:p>
                  <w:pPr>
                    <w:pStyle w:val="381"/>
                    <w:adjustRightInd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ign w:val="center"/>
                </w:tcPr>
                <w:p>
                  <w:pPr>
                    <w:pStyle w:val="381"/>
                    <w:adjustRightInd w:val="0"/>
                    <w:snapToGrid/>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土壤环境</w:t>
                  </w:r>
                </w:p>
              </w:tc>
              <w:tc>
                <w:tcPr>
                  <w:tcW w:w="3906" w:type="dxa"/>
                  <w:gridSpan w:val="3"/>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站区</w:t>
                  </w:r>
                  <w:r>
                    <w:rPr>
                      <w:rFonts w:hint="default" w:ascii="Times New Roman" w:hAnsi="Times New Roman" w:eastAsia="宋体" w:cs="Times New Roman"/>
                      <w:color w:val="auto"/>
                      <w:sz w:val="21"/>
                      <w:szCs w:val="21"/>
                    </w:rPr>
                    <w:t>及四周</w:t>
                  </w:r>
                </w:p>
              </w:tc>
              <w:tc>
                <w:tcPr>
                  <w:tcW w:w="2997" w:type="dxa"/>
                  <w:gridSpan w:val="2"/>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《土壤环境质量标准  建设用地土壤污染风险管控标准(试行)》(GB36600-2018)表1中第二类地类风险筛选值</w:t>
                  </w:r>
                </w:p>
              </w:tc>
              <w:tc>
                <w:tcPr>
                  <w:tcW w:w="661"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896"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ign w:val="center"/>
                </w:tcPr>
                <w:p>
                  <w:pPr>
                    <w:pStyle w:val="381"/>
                    <w:adjustRightInd w:val="0"/>
                    <w:snapToGrid/>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生态环境</w:t>
                  </w:r>
                </w:p>
              </w:tc>
              <w:tc>
                <w:tcPr>
                  <w:tcW w:w="3906" w:type="dxa"/>
                  <w:gridSpan w:val="3"/>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周围生态系统</w:t>
                  </w:r>
                </w:p>
              </w:tc>
              <w:tc>
                <w:tcPr>
                  <w:tcW w:w="2997" w:type="dxa"/>
                  <w:gridSpan w:val="2"/>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生态系统良性循环</w:t>
                  </w:r>
                </w:p>
              </w:tc>
              <w:tc>
                <w:tcPr>
                  <w:tcW w:w="661"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896" w:type="dxa"/>
                  <w:noWrap/>
                  <w:vAlign w:val="center"/>
                </w:tcPr>
                <w:p>
                  <w:pPr>
                    <w:pStyle w:val="2"/>
                    <w:tabs>
                      <w:tab w:val="left" w:pos="7500"/>
                    </w:tabs>
                    <w:spacing w:after="0"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bl>
          <w:p>
            <w:pPr>
              <w:spacing w:line="480" w:lineRule="exact"/>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17"/>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tc>
      </w:tr>
    </w:tbl>
    <w:p>
      <w:pPr>
        <w:pStyle w:val="5"/>
        <w:spacing w:before="0" w:after="0" w:line="360" w:lineRule="auto"/>
        <w:rPr>
          <w:rFonts w:hint="default" w:ascii="Times New Roman" w:hAnsi="Times New Roman" w:eastAsia="宋体" w:cs="Times New Roman"/>
          <w:b w:val="0"/>
          <w:color w:val="auto"/>
          <w:kern w:val="0"/>
          <w:lang w:val="zh-CN"/>
        </w:rPr>
      </w:pPr>
      <w:r>
        <w:rPr>
          <w:rFonts w:hint="default" w:ascii="Times New Roman" w:hAnsi="Times New Roman" w:eastAsia="宋体" w:cs="Times New Roman"/>
          <w:b w:val="0"/>
          <w:color w:val="auto"/>
          <w:sz w:val="30"/>
        </w:rPr>
        <w:br w:type="page"/>
      </w:r>
      <w:r>
        <w:rPr>
          <w:rFonts w:hint="default" w:ascii="Times New Roman" w:hAnsi="Times New Roman" w:eastAsia="宋体" w:cs="Times New Roman"/>
          <w:color w:val="auto"/>
          <w:kern w:val="0"/>
          <w:sz w:val="30"/>
          <w:szCs w:val="30"/>
          <w:u w:color="000000"/>
          <w:lang w:val="zh-CN"/>
        </w:rPr>
        <w:t>评价适用标准</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8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504" w:type="dxa"/>
            <w:tcBorders>
              <w:tl2br w:val="nil"/>
              <w:tr2bl w:val="nil"/>
            </w:tcBorders>
            <w:vAlign w:val="center"/>
          </w:tcPr>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环</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境</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质</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量</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标</w:t>
            </w:r>
          </w:p>
          <w:p>
            <w:pPr>
              <w:adjustRightInd w:val="0"/>
              <w:snapToGrid w:val="0"/>
              <w:rPr>
                <w:rFonts w:hint="default" w:ascii="Times New Roman" w:hAnsi="Times New Roman" w:eastAsia="宋体" w:cs="Times New Roman"/>
                <w:color w:val="auto"/>
                <w:kern w:val="0"/>
                <w:sz w:val="24"/>
                <w:highlight w:val="yellow"/>
              </w:rPr>
            </w:pPr>
            <w:r>
              <w:rPr>
                <w:rFonts w:hint="default" w:ascii="Times New Roman" w:hAnsi="Times New Roman" w:eastAsia="宋体" w:cs="Times New Roman"/>
                <w:color w:val="auto"/>
                <w:kern w:val="0"/>
                <w:sz w:val="28"/>
                <w:szCs w:val="28"/>
              </w:rPr>
              <w:t>准</w:t>
            </w:r>
          </w:p>
        </w:tc>
        <w:tc>
          <w:tcPr>
            <w:tcW w:w="8850" w:type="dxa"/>
            <w:tcBorders>
              <w:tl2br w:val="nil"/>
              <w:tr2bl w:val="nil"/>
            </w:tcBorders>
            <w:vAlign w:val="center"/>
          </w:tcPr>
          <w:p>
            <w:pPr>
              <w:keepNext w:val="0"/>
              <w:keepLines w:val="0"/>
              <w:pageBreakBefore w:val="0"/>
              <w:widowControl w:val="0"/>
              <w:tabs>
                <w:tab w:val="left" w:pos="4047"/>
              </w:tabs>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4.1环境空气</w:t>
            </w:r>
          </w:p>
          <w:p>
            <w:pPr>
              <w:keepNext w:val="0"/>
              <w:keepLines w:val="0"/>
              <w:pageBreakBefore w:val="0"/>
              <w:widowControl w:val="0"/>
              <w:tabs>
                <w:tab w:val="left" w:pos="360"/>
              </w:tabs>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根据《环境空气质量标准》（GB3095－2012）中的规定：居住区、商业交通居民混合区、文化区、一般工业区和农村地区为二类功能区，因此本项目属于《环境空气质量标准》（GB3095-2012）中规定的二类功能区，执行《环境空气质量标准》（GB3095-2012）中的表1二级标准，特征污染物参考执行《环境影响评价技术导则 大气环境》（HJ2.2-2018）附录D中其他污染物空气质量浓度参考限制。标准值见表4-1及表4-2</w:t>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表4-1</w:t>
            </w:r>
            <w:r>
              <w:rPr>
                <w:rFonts w:hint="default" w:ascii="Times New Roman" w:hAnsi="Times New Roman" w:eastAsia="宋体" w:cs="Times New Roman"/>
                <w:b/>
                <w:color w:val="auto"/>
                <w:sz w:val="24"/>
                <w:szCs w:val="21"/>
                <w:lang w:val="en-US" w:eastAsia="zh-CN"/>
              </w:rPr>
              <w:t xml:space="preserve">  </w:t>
            </w:r>
            <w:r>
              <w:rPr>
                <w:rFonts w:hint="default" w:ascii="Times New Roman" w:hAnsi="Times New Roman" w:eastAsia="宋体" w:cs="Times New Roman"/>
                <w:b/>
                <w:color w:val="auto"/>
                <w:sz w:val="24"/>
                <w:szCs w:val="21"/>
              </w:rPr>
              <w:t>环境空气质量标准</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828"/>
              <w:gridCol w:w="879"/>
              <w:gridCol w:w="684"/>
              <w:gridCol w:w="798"/>
              <w:gridCol w:w="863"/>
              <w:gridCol w:w="1629"/>
              <w:gridCol w:w="1042"/>
              <w:gridCol w:w="9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8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pict>
                      <v:line id="_x0000_s2090" o:spid="_x0000_s2090" o:spt="20" style="position:absolute;left:0pt;margin-left:-1.05pt;margin-top:-0.35pt;height:30.7pt;width:83.1pt;z-index:251665408;mso-width-relative:page;mso-height-relative:page;" coordsize="21600,21600" o:gfxdata="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J2AMNQAAAAHAQAADwAA&#10;AAAAAAABACAAAAAiAAAAZHJzL2Rvd25yZXYueG1sUEsBAhQAFAAAAAgAh07iQIbs0yHhAQAAnQMA&#10;AA4AAAAAAAAAAQAgAAAAIwEAAGRycy9lMm9Eb2MueG1sUEsFBgAAAAAGAAYAWQEAAHYFAAAAAA==&#10;">
                        <v:path arrowok="t"/>
                        <v:fill focussize="0,0"/>
                        <v:stroke/>
                        <v:imagedata o:title=""/>
                        <o:lock v:ext="edit"/>
                      </v:line>
                    </w:pict>
                  </w:r>
                  <w:r>
                    <w:rPr>
                      <w:rFonts w:hint="default" w:ascii="Times New Roman" w:hAnsi="Times New Roman" w:eastAsia="宋体" w:cs="Times New Roman"/>
                      <w:color w:val="auto"/>
                      <w:sz w:val="21"/>
                      <w:szCs w:val="21"/>
                    </w:rPr>
                    <w:t>污染物名称</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81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63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73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79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50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6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(8h）</w:t>
                  </w:r>
                </w:p>
              </w:tc>
              <w:tc>
                <w:tcPr>
                  <w:tcW w:w="838"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8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1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3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73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79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50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38" w:type="dxa"/>
                  <w:vMerge w:val="restart"/>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8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81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63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9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50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6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38"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8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8小时平均</w:t>
                  </w:r>
                </w:p>
              </w:tc>
              <w:tc>
                <w:tcPr>
                  <w:tcW w:w="81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3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9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0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838"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8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81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73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9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0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6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838"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表4-2</w:t>
            </w:r>
            <w:r>
              <w:rPr>
                <w:rFonts w:hint="default" w:ascii="Times New Roman" w:hAnsi="Times New Roman" w:eastAsia="宋体" w:cs="Times New Roman"/>
                <w:b/>
                <w:color w:val="auto"/>
                <w:sz w:val="24"/>
                <w:szCs w:val="21"/>
                <w:lang w:val="en-US" w:eastAsia="zh-CN"/>
              </w:rPr>
              <w:t xml:space="preserve">  </w:t>
            </w:r>
            <w:r>
              <w:rPr>
                <w:rFonts w:hint="default" w:ascii="Times New Roman" w:hAnsi="Times New Roman" w:eastAsia="宋体" w:cs="Times New Roman"/>
                <w:b/>
                <w:color w:val="auto"/>
                <w:sz w:val="24"/>
                <w:szCs w:val="21"/>
              </w:rPr>
              <w:t>特征污染物质量标准</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432"/>
              <w:gridCol w:w="1694"/>
              <w:gridCol w:w="47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dxa"/>
                  <w:vMerge w:val="restart"/>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编号</w:t>
                  </w:r>
                </w:p>
              </w:tc>
              <w:tc>
                <w:tcPr>
                  <w:tcW w:w="1432" w:type="dxa"/>
                  <w:vMerge w:val="restart"/>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污染物名称</w:t>
                  </w:r>
                </w:p>
              </w:tc>
              <w:tc>
                <w:tcPr>
                  <w:tcW w:w="1694"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标准值（</w:t>
                  </w:r>
                  <w:r>
                    <w:rPr>
                      <w:rFonts w:hint="default" w:ascii="Times New Roman" w:hAnsi="Times New Roman" w:eastAsia="宋体" w:cs="Times New Roman"/>
                      <w:color w:val="auto"/>
                      <w:sz w:val="21"/>
                      <w:szCs w:val="21"/>
                    </w:rPr>
                    <w:t>u</w:t>
                  </w:r>
                  <w:r>
                    <w:rPr>
                      <w:rFonts w:hint="default" w:ascii="Times New Roman" w:hAnsi="Times New Roman" w:eastAsia="宋体" w:cs="Times New Roman"/>
                      <w:bCs/>
                      <w:color w:val="auto"/>
                      <w:sz w:val="21"/>
                      <w:szCs w:val="21"/>
                    </w:rPr>
                    <w:t>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4776" w:type="dxa"/>
                  <w:vMerge w:val="restart"/>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432"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694"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1h平均</w:t>
                  </w:r>
                </w:p>
              </w:tc>
              <w:tc>
                <w:tcPr>
                  <w:tcW w:w="4776"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432"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硫化氢</w:t>
                  </w:r>
                </w:p>
              </w:tc>
              <w:tc>
                <w:tcPr>
                  <w:tcW w:w="1694"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4776" w:type="dxa"/>
                  <w:vMerge w:val="restart"/>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《环境影响评价技术导则-大气环境》(HJ2.2-2018)中附录D（其他污染物空气质量浓度参考限值）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432"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w:t>
                  </w:r>
                </w:p>
              </w:tc>
              <w:tc>
                <w:tcPr>
                  <w:tcW w:w="1694"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c>
                <w:tcPr>
                  <w:tcW w:w="4776"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r>
          </w:tbl>
          <w:p>
            <w:pPr>
              <w:keepNext w:val="0"/>
              <w:keepLines w:val="0"/>
              <w:pageBreakBefore w:val="0"/>
              <w:widowControl w:val="0"/>
              <w:tabs>
                <w:tab w:val="left" w:pos="4047"/>
              </w:tabs>
              <w:kinsoku/>
              <w:wordWrap/>
              <w:overflowPunct/>
              <w:topLinePunct w:val="0"/>
              <w:autoSpaceDE w:val="0"/>
              <w:autoSpaceDN w:val="0"/>
              <w:bidi w:val="0"/>
              <w:adjustRightInd w:val="0"/>
              <w:snapToGrid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4.2地表水环境</w:t>
            </w:r>
          </w:p>
          <w:p>
            <w:pPr>
              <w:pStyle w:val="40"/>
              <w:keepNext w:val="0"/>
              <w:keepLines w:val="0"/>
              <w:pageBreakBefore w:val="0"/>
              <w:widowControl w:val="0"/>
              <w:kinsoku/>
              <w:wordWrap/>
              <w:overflowPunct/>
              <w:topLinePunct w:val="0"/>
              <w:bidi w:val="0"/>
              <w:adjustRightInd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根据山西省地表水环境功能区划（DB14/67-2019），本项目所在地表水环境功能区为下茹越水库出口至笔峰，属于工业用水保护区，水质目标为《地表水环境质量标准》(GB3838-2002) Ⅲ类水体。标准值见表4-3。</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表4-3</w:t>
            </w:r>
            <w:r>
              <w:rPr>
                <w:rFonts w:hint="default" w:ascii="Times New Roman" w:hAnsi="Times New Roman" w:eastAsia="宋体" w:cs="Times New Roman"/>
                <w:b/>
                <w:color w:val="auto"/>
                <w:sz w:val="24"/>
                <w:szCs w:val="21"/>
                <w:lang w:val="en-US" w:eastAsia="zh-CN"/>
              </w:rPr>
              <w:t xml:space="preserve">  </w:t>
            </w:r>
            <w:r>
              <w:rPr>
                <w:rFonts w:hint="default" w:ascii="Times New Roman" w:hAnsi="Times New Roman" w:eastAsia="宋体" w:cs="Times New Roman"/>
                <w:b/>
                <w:color w:val="auto"/>
                <w:sz w:val="24"/>
                <w:szCs w:val="21"/>
              </w:rPr>
              <w:t>地表水环境质量标准单位：mg/L（除pH外）</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2"/>
              <w:gridCol w:w="848"/>
              <w:gridCol w:w="850"/>
              <w:gridCol w:w="882"/>
              <w:gridCol w:w="976"/>
              <w:gridCol w:w="851"/>
              <w:gridCol w:w="850"/>
              <w:gridCol w:w="1129"/>
              <w:gridCol w:w="11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6"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835"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w:t>
                  </w:r>
                </w:p>
              </w:tc>
              <w:tc>
                <w:tcPr>
                  <w:tcW w:w="837"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869"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961"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838"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总磷</w:t>
                  </w:r>
                </w:p>
              </w:tc>
              <w:tc>
                <w:tcPr>
                  <w:tcW w:w="837"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总氮</w:t>
                  </w:r>
                </w:p>
              </w:tc>
              <w:tc>
                <w:tcPr>
                  <w:tcW w:w="11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10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6"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标准值</w:t>
                  </w:r>
                </w:p>
              </w:tc>
              <w:tc>
                <w:tcPr>
                  <w:tcW w:w="835"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6～9</w:t>
                  </w:r>
                </w:p>
              </w:tc>
              <w:tc>
                <w:tcPr>
                  <w:tcW w:w="837"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869"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961"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838"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w:t>
                  </w:r>
                </w:p>
              </w:tc>
              <w:tc>
                <w:tcPr>
                  <w:tcW w:w="837" w:type="dxa"/>
                  <w:noWrap/>
                  <w:vAlign w:val="center"/>
                </w:tcPr>
                <w:p>
                  <w:pPr>
                    <w:pStyle w:val="382"/>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11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10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bl>
          <w:p>
            <w:pPr>
              <w:keepNext w:val="0"/>
              <w:keepLines w:val="0"/>
              <w:pageBreakBefore w:val="0"/>
              <w:widowControl w:val="0"/>
              <w:tabs>
                <w:tab w:val="left" w:pos="4047"/>
              </w:tabs>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4.3地下水</w:t>
            </w:r>
          </w:p>
          <w:p>
            <w:pPr>
              <w:pStyle w:val="31"/>
              <w:keepNext w:val="0"/>
              <w:keepLines w:val="0"/>
              <w:pageBreakBefore w:val="0"/>
              <w:widowControl w:val="0"/>
              <w:kinsoku/>
              <w:wordWrap/>
              <w:overflowPunct/>
              <w:topLinePunct w:val="0"/>
              <w:bidi w:val="0"/>
              <w:spacing w:after="0" w:line="480" w:lineRule="exact"/>
              <w:ind w:firstLine="48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本项目所处区域地下水主要适用于生活饮用水及农业用水，属Ⅲ类功能区，执行《地下水质量标准》（GB/T14848-2017）中Ⅲ类标准。</w:t>
            </w:r>
          </w:p>
          <w:p>
            <w:pPr>
              <w:tabs>
                <w:tab w:val="left" w:pos="360"/>
              </w:tabs>
              <w:autoSpaceDE w:val="0"/>
              <w:autoSpaceDN w:val="0"/>
              <w:adjustRightInd w:val="0"/>
              <w:snapToGrid w:val="0"/>
              <w:spacing w:line="480" w:lineRule="exact"/>
              <w:jc w:val="center"/>
              <w:rPr>
                <w:rFonts w:hint="default" w:ascii="Times New Roman" w:hAnsi="Times New Roman" w:eastAsia="宋体" w:cs="Times New Roman"/>
                <w:b/>
                <w:color w:val="auto"/>
                <w:sz w:val="24"/>
              </w:rPr>
            </w:pPr>
          </w:p>
          <w:p>
            <w:pPr>
              <w:pStyle w:val="75"/>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表4-4</w:t>
            </w:r>
            <w:r>
              <w:rPr>
                <w:rFonts w:hint="default" w:ascii="Times New Roman" w:hAnsi="Times New Roman" w:eastAsia="宋体" w:cs="Times New Roman"/>
                <w:b/>
                <w:color w:val="auto"/>
                <w:sz w:val="24"/>
                <w:szCs w:val="21"/>
                <w:lang w:val="en-US" w:eastAsia="zh-CN"/>
              </w:rPr>
              <w:t xml:space="preserve">  </w:t>
            </w:r>
            <w:r>
              <w:rPr>
                <w:rFonts w:hint="default" w:ascii="Times New Roman" w:hAnsi="Times New Roman" w:eastAsia="宋体" w:cs="Times New Roman"/>
                <w:b/>
                <w:color w:val="auto"/>
                <w:sz w:val="24"/>
                <w:szCs w:val="21"/>
              </w:rPr>
              <w:t>地下水质量标准</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2"/>
              <w:gridCol w:w="690"/>
              <w:gridCol w:w="615"/>
              <w:gridCol w:w="780"/>
              <w:gridCol w:w="855"/>
              <w:gridCol w:w="780"/>
              <w:gridCol w:w="750"/>
              <w:gridCol w:w="675"/>
              <w:gridCol w:w="720"/>
              <w:gridCol w:w="1200"/>
              <w:gridCol w:w="9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9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61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硝酸盐氮</w:t>
                  </w:r>
                </w:p>
              </w:tc>
              <w:tc>
                <w:tcPr>
                  <w:tcW w:w="85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亚硝酸盐氮</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75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67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72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20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总大肠菌群</w:t>
                  </w:r>
                </w:p>
              </w:tc>
              <w:tc>
                <w:tcPr>
                  <w:tcW w:w="907"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69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6.5≤pH≤8.5</w:t>
                  </w:r>
                </w:p>
              </w:tc>
              <w:tc>
                <w:tcPr>
                  <w:tcW w:w="61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5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75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67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2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20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907"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69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1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85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5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7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ug/L</w:t>
                  </w:r>
                </w:p>
              </w:tc>
              <w:tc>
                <w:tcPr>
                  <w:tcW w:w="72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ug/L</w:t>
                  </w:r>
                </w:p>
              </w:tc>
              <w:tc>
                <w:tcPr>
                  <w:tcW w:w="120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CFU/100mL</w:t>
                  </w:r>
                </w:p>
              </w:tc>
              <w:tc>
                <w:tcPr>
                  <w:tcW w:w="907"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9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Cr</w:t>
                  </w:r>
                  <w:r>
                    <w:rPr>
                      <w:rFonts w:hint="default" w:ascii="Times New Roman" w:hAnsi="Times New Roman" w:eastAsia="宋体" w:cs="Times New Roman"/>
                      <w:color w:val="auto"/>
                      <w:sz w:val="21"/>
                      <w:szCs w:val="21"/>
                      <w:vertAlign w:val="superscript"/>
                    </w:rPr>
                    <w:t>6+</w:t>
                  </w:r>
                </w:p>
              </w:tc>
              <w:tc>
                <w:tcPr>
                  <w:tcW w:w="61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硫酸盐</w:t>
                  </w:r>
                </w:p>
              </w:tc>
              <w:tc>
                <w:tcPr>
                  <w:tcW w:w="85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75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67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72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20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总溶解性固体</w:t>
                  </w:r>
                </w:p>
              </w:tc>
              <w:tc>
                <w:tcPr>
                  <w:tcW w:w="907"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菌落总数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69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61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≤250</w:t>
                  </w:r>
                </w:p>
              </w:tc>
              <w:tc>
                <w:tcPr>
                  <w:tcW w:w="85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5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67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72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20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907"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69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1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mg/L</w:t>
                  </w:r>
                </w:p>
              </w:tc>
              <w:tc>
                <w:tcPr>
                  <w:tcW w:w="85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8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5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75"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2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200"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07" w:type="dxa"/>
                  <w:noWrap/>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CFU/mL</w:t>
                  </w:r>
                </w:p>
              </w:tc>
            </w:tr>
          </w:tbl>
          <w:p>
            <w:pPr>
              <w:keepNext w:val="0"/>
              <w:keepLines w:val="0"/>
              <w:pageBreakBefore w:val="0"/>
              <w:widowControl w:val="0"/>
              <w:tabs>
                <w:tab w:val="left" w:pos="4047"/>
              </w:tabs>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4.4土壤环境</w:t>
            </w:r>
          </w:p>
          <w:p>
            <w:pPr>
              <w:pStyle w:val="75"/>
              <w:keepNext w:val="0"/>
              <w:keepLines w:val="0"/>
              <w:pageBreakBefore w:val="0"/>
              <w:widowControl w:val="0"/>
              <w:kinsoku/>
              <w:wordWrap/>
              <w:overflowPunct/>
              <w:topLinePunct w:val="0"/>
              <w:bidi w:val="0"/>
              <w:spacing w:after="0"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根据调查评价范围内的土地利用类型，建设用地选取《土壤环境质量 建设用地土壤污染风险管控标准（试行）》（GB36600-2018）中第二类用地筛选值进行评价，锌参照《土壤环境质量 农用地土壤污染风险管控标准（试行）》（GB 15618-2018）中土壤污染风险筛选值。</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表4-5</w:t>
            </w:r>
            <w:r>
              <w:rPr>
                <w:rFonts w:hint="default" w:ascii="Times New Roman" w:hAnsi="Times New Roman" w:eastAsia="宋体" w:cs="Times New Roman"/>
                <w:b/>
                <w:color w:val="auto"/>
                <w:sz w:val="24"/>
                <w:szCs w:val="21"/>
                <w:lang w:val="en-US" w:eastAsia="zh-CN"/>
              </w:rPr>
              <w:t xml:space="preserve">  </w:t>
            </w:r>
            <w:r>
              <w:rPr>
                <w:rFonts w:hint="default" w:ascii="Times New Roman" w:hAnsi="Times New Roman" w:eastAsia="宋体" w:cs="Times New Roman"/>
                <w:b/>
                <w:color w:val="auto"/>
                <w:sz w:val="24"/>
                <w:szCs w:val="21"/>
              </w:rPr>
              <w:t>建设用地土壤污染风险筛选值和管制值（基本项目）（单位：mg/kg）</w:t>
            </w:r>
          </w:p>
          <w:tbl>
            <w:tblPr>
              <w:tblStyle w:val="7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2010"/>
              <w:gridCol w:w="1293"/>
              <w:gridCol w:w="1149"/>
              <w:gridCol w:w="1292"/>
              <w:gridCol w:w="1148"/>
              <w:gridCol w:w="10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vMerge w:val="restart"/>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980" w:type="dxa"/>
                  <w:vMerge w:val="restart"/>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274" w:type="dxa"/>
                  <w:vMerge w:val="restart"/>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CAS编号</w:t>
                  </w:r>
                </w:p>
              </w:tc>
              <w:tc>
                <w:tcPr>
                  <w:tcW w:w="2404" w:type="dxa"/>
                  <w:gridSpan w:val="2"/>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筛选值</w:t>
                  </w:r>
                </w:p>
              </w:tc>
              <w:tc>
                <w:tcPr>
                  <w:tcW w:w="2172" w:type="dxa"/>
                  <w:gridSpan w:val="2"/>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管制值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c>
                <w:tcPr>
                  <w:tcW w:w="1980"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c>
                <w:tcPr>
                  <w:tcW w:w="1274"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c>
                <w:tcPr>
                  <w:tcW w:w="1132"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第一类</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用地</w:t>
                  </w:r>
                </w:p>
              </w:tc>
              <w:tc>
                <w:tcPr>
                  <w:tcW w:w="1272"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用地</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第一类</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用地</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4" w:type="dxa"/>
                  <w:gridSpan w:val="7"/>
                  <w:tcBorders>
                    <w:tl2br w:val="nil"/>
                    <w:tr2bl w:val="nil"/>
                  </w:tcBorders>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重金属和无机物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7440-38-2</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镉</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7440-43-9</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铜</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7440-50-8</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铅</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7439-92-1</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汞</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7439-97-6</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镍</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7440-02-0</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铬（六价）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18540-29-9</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4" w:type="dxa"/>
                  <w:gridSpan w:val="7"/>
                  <w:tcBorders>
                    <w:tl2br w:val="nil"/>
                    <w:tr2bl w:val="nil"/>
                  </w:tcBorders>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氯甲烷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74-87-3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75-01-4</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1,1-二氯乙烯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75-35-4</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二氯甲烷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75-09-2</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反-1,2-二氯乙烯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156-60-5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1,1-二氯乙烷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75-34-3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顺-1,2-二氯乙烯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156-59-2</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氯仿</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67-66-3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1,1,1-三氯乙烷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71-55-6</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701</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四氯化碳</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56-23-5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71-43-2</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1,2-二氯乙烷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107-06-2</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三氯乙烯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79-01-06</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1,2-二氯丙烷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78-87-5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甲苯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108-88-3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1,1,2-三氯乙烷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79-00-5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四氯乙烯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127-18-4</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108-90-7</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1,1,1,2-四氯乙烷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930-20-6</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乙苯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100-41-4</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间二甲苯+对二甲苯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108-38-3</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106-42-3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463</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04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邻二甲苯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95-47-6</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苯乙烯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100-42-5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1,1,2,2-四氯乙烷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79-34-5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1,2,3-三氯丙烷</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96-18-4</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1,4-二氯苯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106-46-7</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1,2-二氯苯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95-50-1</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4" w:type="dxa"/>
                  <w:gridSpan w:val="7"/>
                  <w:tcBorders>
                    <w:tl2br w:val="nil"/>
                    <w:tr2bl w:val="nil"/>
                  </w:tcBorders>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半挥发性有机物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苯胺</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62-53-3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2-氯酚</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95-57-8</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2256</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硝基苯</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98-95-3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萘</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91-20-3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苯并[a]蒽</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56-55-3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䓛</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218-01-9</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490</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4900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苯并[b]荧蒽</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205-99-2</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苯并[k]荧蒽</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207-08-9</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550</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苯并[a]芘</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50-32-8</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茚并[1,2,3-cd]芘</w:t>
                  </w:r>
                </w:p>
              </w:tc>
              <w:tc>
                <w:tcPr>
                  <w:tcW w:w="12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193-39-5</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98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二苯并[a,h]蒽</w:t>
                  </w:r>
                </w:p>
              </w:tc>
              <w:tc>
                <w:tcPr>
                  <w:tcW w:w="1274"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53-70-3</w:t>
                  </w:r>
                </w:p>
              </w:tc>
              <w:tc>
                <w:tcPr>
                  <w:tcW w:w="1131"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0.55</w:t>
                  </w:r>
                </w:p>
              </w:tc>
              <w:tc>
                <w:tcPr>
                  <w:tcW w:w="127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041"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表4-6  农用地土壤污染风险筛选值（单位：pH无量纲、其它为mg/kg）</w:t>
            </w:r>
          </w:p>
          <w:tbl>
            <w:tblPr>
              <w:tblStyle w:val="7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745"/>
              <w:gridCol w:w="954"/>
              <w:gridCol w:w="1729"/>
              <w:gridCol w:w="1731"/>
              <w:gridCol w:w="1732"/>
              <w:gridCol w:w="17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33" w:type="dxa"/>
                  <w:vMerge w:val="restart"/>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40" w:type="dxa"/>
                  <w:vMerge w:val="restart"/>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31" w:type="dxa"/>
                  <w:gridSpan w:val="4"/>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33"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c>
                <w:tcPr>
                  <w:tcW w:w="940" w:type="dxa"/>
                  <w:vMerge w:val="continue"/>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p>
              </w:tc>
              <w:tc>
                <w:tcPr>
                  <w:tcW w:w="170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pH≤5.5</w:t>
                  </w:r>
                </w:p>
              </w:tc>
              <w:tc>
                <w:tcPr>
                  <w:tcW w:w="170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5.5＜pH≤6.5</w:t>
                  </w:r>
                </w:p>
              </w:tc>
              <w:tc>
                <w:tcPr>
                  <w:tcW w:w="1706"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6.5＜pH≤7.5</w:t>
                  </w:r>
                </w:p>
              </w:tc>
              <w:tc>
                <w:tcPr>
                  <w:tcW w:w="1717"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3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703"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705"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706"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717"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r>
          </w:tbl>
          <w:p>
            <w:pPr>
              <w:keepNext w:val="0"/>
              <w:keepLines w:val="0"/>
              <w:pageBreakBefore w:val="0"/>
              <w:widowControl w:val="0"/>
              <w:tabs>
                <w:tab w:val="left" w:pos="4047"/>
              </w:tabs>
              <w:kinsoku/>
              <w:wordWrap/>
              <w:overflowPunct/>
              <w:topLinePunct w:val="0"/>
              <w:autoSpaceDE w:val="0"/>
              <w:autoSpaceDN w:val="0"/>
              <w:bidi w:val="0"/>
              <w:adjustRightInd w:val="0"/>
              <w:snapToGrid w:val="0"/>
              <w:spacing w:line="48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4.5声环境</w:t>
            </w:r>
          </w:p>
          <w:p>
            <w:pPr>
              <w:pStyle w:val="40"/>
              <w:keepNext w:val="0"/>
              <w:keepLines w:val="0"/>
              <w:pageBreakBefore w:val="0"/>
              <w:widowControl w:val="0"/>
              <w:kinsoku/>
              <w:wordWrap/>
              <w:overflowPunct/>
              <w:topLinePunct w:val="0"/>
              <w:bidi w:val="0"/>
              <w:adjustRightInd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w:t>
            </w:r>
            <w:r>
              <w:rPr>
                <w:rFonts w:hint="default" w:ascii="Times New Roman" w:hAnsi="Times New Roman" w:eastAsia="宋体" w:cs="Times New Roman"/>
                <w:color w:val="auto"/>
                <w:kern w:val="0"/>
                <w:sz w:val="24"/>
              </w:rPr>
              <w:t>根据声环境功能区划分的规定，本项目属于2类区</w:t>
            </w:r>
            <w:r>
              <w:rPr>
                <w:rFonts w:hint="default" w:ascii="Times New Roman" w:hAnsi="Times New Roman" w:eastAsia="宋体" w:cs="Times New Roman"/>
                <w:color w:val="auto"/>
                <w:sz w:val="24"/>
                <w:szCs w:val="24"/>
              </w:rPr>
              <w:t>，执行《声环境质量标准》（GB3096－2008）表1中2类区标准，敏感点笔峰村执行《声环境质量标准》（GB3096－2008）表1中1类区标准，见表4-7。</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表4-7   声环境质量标准  单位：dB（A）</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2929"/>
              <w:gridCol w:w="29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vMerge w:val="restart"/>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声环境功能区类别</w:t>
                  </w:r>
                </w:p>
              </w:tc>
              <w:tc>
                <w:tcPr>
                  <w:tcW w:w="5858" w:type="dxa"/>
                  <w:gridSpan w:val="2"/>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vMerge w:val="continue"/>
                  <w:noWrap/>
                  <w:vAlign w:val="center"/>
                </w:tcPr>
                <w:p>
                  <w:pPr>
                    <w:pStyle w:val="382"/>
                    <w:rPr>
                      <w:rFonts w:hint="default" w:ascii="Times New Roman" w:hAnsi="Times New Roman" w:eastAsia="宋体" w:cs="Times New Roman"/>
                      <w:color w:val="auto"/>
                      <w:kern w:val="0"/>
                      <w:sz w:val="21"/>
                      <w:szCs w:val="21"/>
                    </w:rPr>
                  </w:pPr>
                </w:p>
              </w:tc>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1类</w:t>
                  </w:r>
                </w:p>
              </w:tc>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w:t>
                  </w:r>
                </w:p>
              </w:tc>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2类</w:t>
                  </w:r>
                </w:p>
              </w:tc>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2929" w:type="dxa"/>
                  <w:noWrap/>
                  <w:vAlign w:val="center"/>
                </w:tcPr>
                <w:p>
                  <w:pPr>
                    <w:pStyle w:val="38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r>
          </w:tbl>
          <w:p>
            <w:pPr>
              <w:adjustRightInd w:val="0"/>
              <w:snapToGrid w:val="0"/>
              <w:spacing w:line="480" w:lineRule="exact"/>
              <w:ind w:firstLine="480" w:firstLineChars="200"/>
              <w:rPr>
                <w:rFonts w:hint="default" w:ascii="Times New Roman" w:hAnsi="Times New Roman" w:eastAsia="宋体" w:cs="Times New Roman"/>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04" w:type="dxa"/>
            <w:tcBorders>
              <w:tl2br w:val="nil"/>
              <w:tr2bl w:val="nil"/>
            </w:tcBorders>
            <w:vAlign w:val="center"/>
          </w:tcPr>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污</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染</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物</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排</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放</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标</w:t>
            </w:r>
          </w:p>
          <w:p>
            <w:pPr>
              <w:adjustRightInd w:val="0"/>
              <w:snapToGrid w:val="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8"/>
                <w:szCs w:val="28"/>
              </w:rPr>
              <w:t>准</w:t>
            </w:r>
          </w:p>
        </w:tc>
        <w:tc>
          <w:tcPr>
            <w:tcW w:w="8850"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4.4废气</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施工期粉尘：建材装卸、储存等产生粉尘，执行《大气污染物综合排放标准》（GB16297-1996）表2 中二级标准限值，见表4-8。</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表4-8  大气污染物综合排放标准执行标准</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824"/>
              <w:gridCol w:w="3405"/>
              <w:gridCol w:w="34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796" w:type="dxa"/>
                  <w:vMerge w:val="restart"/>
                  <w:noWrap/>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污染物</w:t>
                  </w:r>
                </w:p>
              </w:tc>
              <w:tc>
                <w:tcPr>
                  <w:tcW w:w="6708" w:type="dxa"/>
                  <w:gridSpan w:val="2"/>
                  <w:noWrap/>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1"/>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796" w:type="dxa"/>
                  <w:vMerge w:val="continue"/>
                  <w:noWrap/>
                  <w:vAlign w:val="center"/>
                </w:tcPr>
                <w:p>
                  <w:pPr>
                    <w:jc w:val="center"/>
                    <w:rPr>
                      <w:rFonts w:hint="default" w:ascii="Times New Roman" w:hAnsi="Times New Roman" w:eastAsia="宋体" w:cs="Times New Roman"/>
                      <w:color w:val="auto"/>
                      <w:szCs w:val="21"/>
                    </w:rPr>
                  </w:pPr>
                </w:p>
              </w:tc>
              <w:tc>
                <w:tcPr>
                  <w:tcW w:w="3354" w:type="dxa"/>
                  <w:noWrap/>
                  <w:vAlign w:val="center"/>
                </w:tcPr>
                <w:p>
                  <w:pPr>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监控点</w:t>
                  </w:r>
                </w:p>
              </w:tc>
              <w:tc>
                <w:tcPr>
                  <w:tcW w:w="3354" w:type="dxa"/>
                  <w:noWrap/>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w:t>
                  </w:r>
                  <w:r>
                    <w:rPr>
                      <w:rFonts w:hint="default" w:ascii="Times New Roman" w:hAnsi="Times New Roman" w:eastAsia="宋体" w:cs="Times New Roman"/>
                      <w:color w:val="auto"/>
                      <w:kern w:val="21"/>
                      <w:szCs w:val="21"/>
                    </w:rPr>
                    <w:t>（mg/m</w:t>
                  </w:r>
                  <w:r>
                    <w:rPr>
                      <w:rFonts w:hint="default" w:ascii="Times New Roman" w:hAnsi="Times New Roman" w:eastAsia="宋体" w:cs="Times New Roman"/>
                      <w:color w:val="auto"/>
                      <w:kern w:val="21"/>
                      <w:szCs w:val="21"/>
                      <w:vertAlign w:val="superscript"/>
                    </w:rPr>
                    <w:t>3</w:t>
                  </w:r>
                  <w:r>
                    <w:rPr>
                      <w:rFonts w:hint="default" w:ascii="Times New Roman" w:hAnsi="Times New Roman" w:eastAsia="宋体" w:cs="Times New Roman"/>
                      <w:color w:val="auto"/>
                      <w:kern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1796" w:type="dxa"/>
                  <w:noWrap/>
                  <w:vAlign w:val="center"/>
                </w:tcPr>
                <w:p>
                  <w:pPr>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szCs w:val="21"/>
                    </w:rPr>
                    <w:t>颗粒物</w:t>
                  </w:r>
                </w:p>
              </w:tc>
              <w:tc>
                <w:tcPr>
                  <w:tcW w:w="3354" w:type="dxa"/>
                  <w:noWrap/>
                  <w:vAlign w:val="center"/>
                </w:tcPr>
                <w:p>
                  <w:pPr>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周界外浓度最高点</w:t>
                  </w:r>
                </w:p>
              </w:tc>
              <w:tc>
                <w:tcPr>
                  <w:tcW w:w="3354" w:type="dxa"/>
                  <w:noWrap/>
                  <w:vAlign w:val="center"/>
                </w:tcPr>
                <w:p>
                  <w:pPr>
                    <w:jc w:val="center"/>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1.0</w:t>
                  </w:r>
                </w:p>
              </w:tc>
            </w:tr>
          </w:tbl>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项目无组织恶臭废气排放执行</w:t>
            </w:r>
            <w:r>
              <w:rPr>
                <w:rFonts w:hint="default" w:ascii="Times New Roman" w:hAnsi="Times New Roman" w:eastAsia="宋体" w:cs="Times New Roman"/>
                <w:color w:val="auto"/>
                <w:sz w:val="24"/>
                <w:lang w:eastAsia="zh-CN"/>
              </w:rPr>
              <w:t>《城镇污水处理站污染物排放标准》</w:t>
            </w:r>
            <w:r>
              <w:rPr>
                <w:rFonts w:hint="default" w:ascii="Times New Roman" w:hAnsi="Times New Roman" w:eastAsia="宋体" w:cs="Times New Roman"/>
                <w:color w:val="auto"/>
                <w:sz w:val="24"/>
              </w:rPr>
              <w:t>（GB18918-2002）表4中的二级标准。详见</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4-9</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w:t>
            </w:r>
            <w:r>
              <w:rPr>
                <w:rFonts w:hint="default" w:ascii="Times New Roman" w:hAnsi="Times New Roman" w:eastAsia="宋体" w:cs="Times New Roman"/>
                <w:b/>
                <w:color w:val="auto"/>
                <w:sz w:val="24"/>
                <w:szCs w:val="21"/>
                <w:lang w:val="en-US" w:eastAsia="zh-CN"/>
              </w:rPr>
              <w:t xml:space="preserve">9  </w:t>
            </w:r>
            <w:r>
              <w:rPr>
                <w:rFonts w:hint="default" w:ascii="Times New Roman" w:hAnsi="Times New Roman" w:eastAsia="宋体" w:cs="Times New Roman"/>
                <w:b/>
                <w:color w:val="auto"/>
                <w:sz w:val="24"/>
                <w:szCs w:val="21"/>
              </w:rPr>
              <w:t>厂界（防护带边缘）废气排放最高允许单位：mg/m³</w:t>
            </w:r>
          </w:p>
          <w:tbl>
            <w:tblPr>
              <w:tblStyle w:val="77"/>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4"/>
              <w:gridCol w:w="1597"/>
              <w:gridCol w:w="1780"/>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8" w:type="dxa"/>
                  <w:tcBorders>
                    <w:top w:val="single" w:color="auto" w:sz="12" w:space="0"/>
                    <w:left w:val="nil"/>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控制</w:t>
                  </w:r>
                  <w:r>
                    <w:rPr>
                      <w:rFonts w:hint="default" w:ascii="Times New Roman" w:hAnsi="Times New Roman" w:eastAsia="宋体" w:cs="Times New Roman"/>
                      <w:color w:val="auto"/>
                      <w:kern w:val="0"/>
                      <w:szCs w:val="21"/>
                    </w:rPr>
                    <w:t>项目</w:t>
                  </w:r>
                </w:p>
              </w:tc>
              <w:tc>
                <w:tcPr>
                  <w:tcW w:w="1599" w:type="dxa"/>
                  <w:tcBorders>
                    <w:top w:val="single" w:color="auto" w:sz="12"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一级标准</w:t>
                  </w:r>
                </w:p>
              </w:tc>
              <w:tc>
                <w:tcPr>
                  <w:tcW w:w="1782" w:type="dxa"/>
                  <w:tcBorders>
                    <w:top w:val="single" w:color="auto" w:sz="12"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b w:val="0"/>
                      <w:bCs w:val="0"/>
                      <w:color w:val="auto"/>
                      <w:kern w:val="0"/>
                      <w:szCs w:val="21"/>
                    </w:rPr>
                  </w:pPr>
                  <w:r>
                    <w:rPr>
                      <w:rFonts w:hint="default" w:ascii="Times New Roman" w:hAnsi="Times New Roman" w:eastAsia="宋体" w:cs="Times New Roman"/>
                      <w:b/>
                      <w:bCs/>
                      <w:color w:val="auto"/>
                      <w:kern w:val="0"/>
                      <w:szCs w:val="21"/>
                      <w:lang w:eastAsia="zh-CN"/>
                    </w:rPr>
                    <w:t>二级标准</w:t>
                  </w:r>
                </w:p>
              </w:tc>
              <w:tc>
                <w:tcPr>
                  <w:tcW w:w="1839" w:type="dxa"/>
                  <w:tcBorders>
                    <w:top w:val="single" w:color="auto" w:sz="12" w:space="0"/>
                    <w:left w:val="single" w:color="auto" w:sz="4" w:space="0"/>
                    <w:bottom w:val="single" w:color="auto" w:sz="6" w:space="0"/>
                    <w:right w:val="nil"/>
                  </w:tcBorders>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8" w:type="dxa"/>
                  <w:tcBorders>
                    <w:top w:val="single" w:color="auto" w:sz="6" w:space="0"/>
                    <w:left w:val="nil"/>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氨</w:t>
                  </w:r>
                </w:p>
              </w:tc>
              <w:tc>
                <w:tcPr>
                  <w:tcW w:w="1599" w:type="dxa"/>
                  <w:tcBorders>
                    <w:top w:val="single" w:color="auto" w:sz="6"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1.0</w:t>
                  </w:r>
                </w:p>
              </w:tc>
              <w:tc>
                <w:tcPr>
                  <w:tcW w:w="1782" w:type="dxa"/>
                  <w:tcBorders>
                    <w:top w:val="single" w:color="auto" w:sz="6"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kern w:val="0"/>
                      <w:szCs w:val="21"/>
                      <w:lang w:val="en-US" w:eastAsia="zh-CN"/>
                    </w:rPr>
                    <w:t>1.5</w:t>
                  </w:r>
                </w:p>
              </w:tc>
              <w:tc>
                <w:tcPr>
                  <w:tcW w:w="1839" w:type="dxa"/>
                  <w:tcBorders>
                    <w:top w:val="single" w:color="auto" w:sz="6" w:space="0"/>
                    <w:left w:val="single" w:color="auto" w:sz="4" w:space="0"/>
                    <w:bottom w:val="single" w:color="auto" w:sz="6" w:space="0"/>
                    <w:right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8" w:type="dxa"/>
                  <w:tcBorders>
                    <w:top w:val="single" w:color="auto" w:sz="6" w:space="0"/>
                    <w:left w:val="nil"/>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硫化氢</w:t>
                  </w:r>
                </w:p>
              </w:tc>
              <w:tc>
                <w:tcPr>
                  <w:tcW w:w="1599" w:type="dxa"/>
                  <w:tcBorders>
                    <w:top w:val="single" w:color="auto" w:sz="6"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0.03</w:t>
                  </w:r>
                </w:p>
              </w:tc>
              <w:tc>
                <w:tcPr>
                  <w:tcW w:w="1782" w:type="dxa"/>
                  <w:tcBorders>
                    <w:top w:val="single" w:color="auto" w:sz="6"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0.06</w:t>
                  </w:r>
                </w:p>
              </w:tc>
              <w:tc>
                <w:tcPr>
                  <w:tcW w:w="1839" w:type="dxa"/>
                  <w:tcBorders>
                    <w:top w:val="single" w:color="auto" w:sz="6" w:space="0"/>
                    <w:left w:val="single" w:color="auto" w:sz="4" w:space="0"/>
                    <w:bottom w:val="single" w:color="auto" w:sz="6" w:space="0"/>
                    <w:right w:val="nil"/>
                  </w:tcBorders>
                  <w:vAlign w:val="center"/>
                </w:tcPr>
                <w:p>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8" w:type="dxa"/>
                  <w:tcBorders>
                    <w:top w:val="single" w:color="auto" w:sz="6" w:space="0"/>
                    <w:left w:val="nil"/>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臭气强度（无量纲）</w:t>
                  </w:r>
                </w:p>
              </w:tc>
              <w:tc>
                <w:tcPr>
                  <w:tcW w:w="1599" w:type="dxa"/>
                  <w:tcBorders>
                    <w:top w:val="single" w:color="auto" w:sz="6"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10</w:t>
                  </w:r>
                </w:p>
              </w:tc>
              <w:tc>
                <w:tcPr>
                  <w:tcW w:w="1782" w:type="dxa"/>
                  <w:tcBorders>
                    <w:top w:val="single" w:color="auto" w:sz="6" w:space="0"/>
                    <w:left w:val="single" w:color="auto" w:sz="4" w:space="0"/>
                    <w:bottom w:val="single" w:color="auto" w:sz="6" w:space="0"/>
                    <w:right w:val="single" w:color="auto" w:sz="4" w:space="0"/>
                  </w:tcBorders>
                  <w:vAlign w:val="center"/>
                </w:tcPr>
                <w:p>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20</w:t>
                  </w:r>
                </w:p>
              </w:tc>
              <w:tc>
                <w:tcPr>
                  <w:tcW w:w="1839" w:type="dxa"/>
                  <w:tcBorders>
                    <w:top w:val="single" w:color="auto" w:sz="6" w:space="0"/>
                    <w:left w:val="single" w:color="auto" w:sz="4" w:space="0"/>
                    <w:bottom w:val="single" w:color="auto" w:sz="6" w:space="0"/>
                    <w:right w:val="nil"/>
                  </w:tcBorders>
                  <w:vAlign w:val="center"/>
                </w:tcPr>
                <w:p>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8" w:type="dxa"/>
                  <w:tcBorders>
                    <w:top w:val="single" w:color="auto" w:sz="6" w:space="0"/>
                    <w:left w:val="nil"/>
                    <w:bottom w:val="single" w:color="auto" w:sz="12"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甲烷（</w:t>
                  </w:r>
                  <w:r>
                    <w:rPr>
                      <w:rFonts w:hint="default" w:ascii="Times New Roman" w:hAnsi="Times New Roman" w:eastAsia="宋体" w:cs="Times New Roman"/>
                      <w:color w:val="auto"/>
                      <w:kern w:val="0"/>
                      <w:szCs w:val="21"/>
                      <w:lang w:eastAsia="zh-CN"/>
                    </w:rPr>
                    <w:t>厂区</w:t>
                  </w:r>
                  <w:r>
                    <w:rPr>
                      <w:rFonts w:hint="default" w:ascii="Times New Roman" w:hAnsi="Times New Roman" w:eastAsia="宋体" w:cs="Times New Roman"/>
                      <w:color w:val="auto"/>
                      <w:kern w:val="0"/>
                      <w:szCs w:val="21"/>
                    </w:rPr>
                    <w:t>浓度最高体积浓度%）</w:t>
                  </w:r>
                </w:p>
              </w:tc>
              <w:tc>
                <w:tcPr>
                  <w:tcW w:w="1599" w:type="dxa"/>
                  <w:tcBorders>
                    <w:top w:val="single" w:color="auto" w:sz="6" w:space="0"/>
                    <w:left w:val="single" w:color="auto" w:sz="4" w:space="0"/>
                    <w:bottom w:val="single" w:color="auto" w:sz="12" w:space="0"/>
                    <w:right w:val="single" w:color="auto" w:sz="4" w:space="0"/>
                  </w:tcBorders>
                  <w:vAlign w:val="center"/>
                </w:tcPr>
                <w:p>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0.5</w:t>
                  </w:r>
                </w:p>
              </w:tc>
              <w:tc>
                <w:tcPr>
                  <w:tcW w:w="1782" w:type="dxa"/>
                  <w:tcBorders>
                    <w:top w:val="single" w:color="auto" w:sz="6" w:space="0"/>
                    <w:left w:val="single" w:color="auto" w:sz="4" w:space="0"/>
                    <w:bottom w:val="single" w:color="auto" w:sz="12" w:space="0"/>
                    <w:right w:val="single" w:color="auto" w:sz="4" w:space="0"/>
                  </w:tcBorders>
                  <w:vAlign w:val="center"/>
                </w:tcPr>
                <w:p>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1</w:t>
                  </w:r>
                </w:p>
              </w:tc>
              <w:tc>
                <w:tcPr>
                  <w:tcW w:w="1839" w:type="dxa"/>
                  <w:tcBorders>
                    <w:top w:val="single" w:color="auto" w:sz="6" w:space="0"/>
                    <w:left w:val="single" w:color="auto" w:sz="4" w:space="0"/>
                    <w:bottom w:val="single" w:color="auto" w:sz="12" w:space="0"/>
                    <w:right w:val="nil"/>
                  </w:tcBorders>
                  <w:vAlign w:val="center"/>
                </w:tcPr>
                <w:p>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r>
          </w:tbl>
          <w:p>
            <w:pPr>
              <w:keepNext w:val="0"/>
              <w:keepLines w:val="0"/>
              <w:pageBreakBefore w:val="0"/>
              <w:widowControl w:val="0"/>
              <w:kinsoku/>
              <w:wordWrap/>
              <w:overflowPunct/>
              <w:topLinePunct w:val="0"/>
              <w:bidi w:val="0"/>
              <w:adjustRightInd w:val="0"/>
              <w:snapToGrid w:val="0"/>
              <w:spacing w:line="480" w:lineRule="exac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4.5废水</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本项目拟在2021年1月起正式投入运行，根据山西省生态环境厅·山西省市场监督管理局《山西省地方标准污水综合排放标准》（DB14/1928-2019），自2021年1月1日起实施，因此</w:t>
            </w:r>
            <w:r>
              <w:rPr>
                <w:rFonts w:hint="default" w:ascii="Times New Roman" w:hAnsi="Times New Roman" w:eastAsia="宋体" w:cs="Times New Roman"/>
                <w:color w:val="auto"/>
                <w:sz w:val="24"/>
              </w:rPr>
              <w:t>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-N、TP执行</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标准，其余指标执行</w:t>
            </w:r>
            <w:r>
              <w:rPr>
                <w:rFonts w:hint="default" w:ascii="Times New Roman" w:hAnsi="Times New Roman" w:eastAsia="宋体" w:cs="Times New Roman"/>
                <w:color w:val="auto"/>
                <w:sz w:val="24"/>
                <w:lang w:eastAsia="zh-CN"/>
              </w:rPr>
              <w:t>《城镇污水处理站污染物排放标准》</w:t>
            </w:r>
            <w:r>
              <w:rPr>
                <w:rFonts w:hint="default" w:ascii="Times New Roman" w:hAnsi="Times New Roman" w:eastAsia="宋体" w:cs="Times New Roman"/>
                <w:color w:val="auto"/>
                <w:sz w:val="24"/>
              </w:rPr>
              <w:t>（GB18918-2002）一级A标准，详见表4-1</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及表4-1</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表4-1</w:t>
            </w:r>
            <w:r>
              <w:rPr>
                <w:rFonts w:hint="default" w:ascii="Times New Roman" w:hAnsi="Times New Roman" w:eastAsia="宋体" w:cs="Times New Roman"/>
                <w:b/>
                <w:color w:val="auto"/>
                <w:sz w:val="24"/>
                <w:szCs w:val="21"/>
                <w:lang w:val="en-US" w:eastAsia="zh-CN"/>
              </w:rPr>
              <w:t xml:space="preserve">0  </w:t>
            </w:r>
            <w:r>
              <w:rPr>
                <w:rFonts w:hint="default" w:ascii="Times New Roman" w:hAnsi="Times New Roman" w:eastAsia="宋体" w:cs="Times New Roman"/>
                <w:b/>
                <w:color w:val="auto"/>
                <w:sz w:val="24"/>
                <w:szCs w:val="21"/>
                <w:lang w:eastAsia="zh-CN"/>
              </w:rPr>
              <w:t>《城镇污水处理站污染物排放标准》</w:t>
            </w:r>
            <w:r>
              <w:rPr>
                <w:rFonts w:hint="default" w:ascii="Times New Roman" w:hAnsi="Times New Roman" w:eastAsia="宋体" w:cs="Times New Roman"/>
                <w:b/>
                <w:color w:val="auto"/>
                <w:sz w:val="24"/>
                <w:szCs w:val="21"/>
              </w:rPr>
              <w:t>（GB18918-2002） 单位：mg/L</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795"/>
              <w:gridCol w:w="1023"/>
              <w:gridCol w:w="1029"/>
              <w:gridCol w:w="882"/>
              <w:gridCol w:w="736"/>
              <w:gridCol w:w="883"/>
              <w:gridCol w:w="22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04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98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9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850"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709"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851"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126"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04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7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8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9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50"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9"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51"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2126" w:type="dxa"/>
                  <w:tcBorders>
                    <w:tl2br w:val="nil"/>
                    <w:tr2bl w:val="nil"/>
                  </w:tcBorders>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表4-1</w:t>
            </w:r>
            <w:r>
              <w:rPr>
                <w:rFonts w:hint="default" w:ascii="Times New Roman" w:hAnsi="Times New Roman" w:eastAsia="宋体" w:cs="Times New Roman"/>
                <w:b/>
                <w:color w:val="auto"/>
                <w:sz w:val="24"/>
                <w:szCs w:val="21"/>
                <w:lang w:val="en-US" w:eastAsia="zh-CN"/>
              </w:rPr>
              <w:t>1  《山西省地方标准污水综合排放标准》（DB14/1928-2019）</w:t>
            </w:r>
            <w:r>
              <w:rPr>
                <w:rFonts w:hint="default" w:ascii="Times New Roman" w:hAnsi="Times New Roman" w:eastAsia="宋体" w:cs="Times New Roman"/>
                <w:b/>
                <w:color w:val="auto"/>
                <w:sz w:val="24"/>
                <w:szCs w:val="21"/>
              </w:rPr>
              <w:t>单位：mg/L</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5"/>
              <w:gridCol w:w="2172"/>
              <w:gridCol w:w="1825"/>
              <w:gridCol w:w="22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08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98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83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2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08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98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3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2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r>
          </w:tbl>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4.6噪声</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施工期噪声执行《建筑施工厂界环境噪声排放标准》（GB12523-2011）：昼间70dB(A)，夜间55dB(A)，见表4-1</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表4-1</w:t>
            </w:r>
            <w:r>
              <w:rPr>
                <w:rFonts w:hint="default" w:ascii="Times New Roman" w:hAnsi="Times New Roman" w:eastAsia="宋体" w:cs="Times New Roman"/>
                <w:b/>
                <w:color w:val="auto"/>
                <w:sz w:val="24"/>
                <w:szCs w:val="21"/>
                <w:lang w:val="en-US" w:eastAsia="zh-CN"/>
              </w:rPr>
              <w:t>2</w:t>
            </w:r>
            <w:r>
              <w:rPr>
                <w:rFonts w:hint="default" w:ascii="Times New Roman" w:hAnsi="Times New Roman" w:eastAsia="宋体" w:cs="Times New Roman"/>
                <w:b/>
                <w:color w:val="auto"/>
                <w:sz w:val="24"/>
                <w:szCs w:val="21"/>
              </w:rPr>
              <w:t xml:space="preserve">  建筑施工场界环境噪声排放标准  单位：dB（A）</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968"/>
              <w:gridCol w:w="46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8504" w:type="dxa"/>
                  <w:gridSpan w:val="2"/>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rPr>
                    <w:t>噪声限值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3908"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昼间</w:t>
                  </w:r>
                </w:p>
              </w:tc>
              <w:tc>
                <w:tcPr>
                  <w:tcW w:w="459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3908"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70</w:t>
                  </w:r>
                </w:p>
              </w:tc>
              <w:tc>
                <w:tcPr>
                  <w:tcW w:w="4596"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55</w:t>
                  </w:r>
                </w:p>
              </w:tc>
            </w:tr>
          </w:tbl>
          <w:p>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运营期：厂界噪声执行《工业企业厂界环境噪声排放标准》（GB12348－2008）中2类标准值，即昼间60dB（A），夜间50dB（A），见表4-1</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w:t>
            </w:r>
            <w:r>
              <w:rPr>
                <w:rFonts w:hint="default" w:ascii="Times New Roman" w:hAnsi="Times New Roman" w:eastAsia="宋体" w:cs="Times New Roman"/>
                <w:b/>
                <w:color w:val="auto"/>
                <w:sz w:val="24"/>
                <w:szCs w:val="21"/>
                <w:lang w:val="en-US" w:eastAsia="zh-CN"/>
              </w:rPr>
              <w:t>13</w:t>
            </w:r>
            <w:r>
              <w:rPr>
                <w:rFonts w:hint="default" w:ascii="Times New Roman" w:hAnsi="Times New Roman" w:eastAsia="宋体" w:cs="Times New Roman"/>
                <w:b/>
                <w:color w:val="auto"/>
                <w:sz w:val="24"/>
                <w:szCs w:val="21"/>
              </w:rPr>
              <w:t xml:space="preserve">  工业企业厂界环境噪声排放标准  单位：dB（A）</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981"/>
              <w:gridCol w:w="2248"/>
              <w:gridCol w:w="34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936"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厂界外声环境功能区类别</w:t>
                  </w:r>
                </w:p>
              </w:tc>
              <w:tc>
                <w:tcPr>
                  <w:tcW w:w="5568" w:type="dxa"/>
                  <w:gridSpan w:val="2"/>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rPr>
                    <w:t>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93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214"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昼间</w:t>
                  </w:r>
                </w:p>
              </w:tc>
              <w:tc>
                <w:tcPr>
                  <w:tcW w:w="33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936"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sz w:val="21"/>
                      <w:szCs w:val="21"/>
                    </w:rPr>
                    <w:t>2类</w:t>
                  </w:r>
                </w:p>
              </w:tc>
              <w:tc>
                <w:tcPr>
                  <w:tcW w:w="2214"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60</w:t>
                  </w:r>
                </w:p>
              </w:tc>
              <w:tc>
                <w:tcPr>
                  <w:tcW w:w="3354" w:type="dxa"/>
                  <w:noWrap/>
                  <w:vAlign w:val="center"/>
                </w:tcPr>
                <w:p>
                  <w:pPr>
                    <w:spacing w:line="240" w:lineRule="auto"/>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50</w:t>
                  </w:r>
                </w:p>
              </w:tc>
            </w:tr>
          </w:tbl>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4.7固体废物</w:t>
            </w:r>
          </w:p>
          <w:p>
            <w:pPr>
              <w:keepNext w:val="0"/>
              <w:keepLines w:val="0"/>
              <w:pageBreakBefore w:val="0"/>
              <w:widowControl w:val="0"/>
              <w:kinsoku/>
              <w:wordWrap/>
              <w:overflowPunct/>
              <w:topLinePunct w:val="0"/>
              <w:autoSpaceDE/>
              <w:autoSpaceDN/>
              <w:bidi w:val="0"/>
              <w:spacing w:line="480" w:lineRule="exact"/>
              <w:ind w:firstLine="480" w:firstLineChars="200"/>
              <w:contextualSpacing/>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污泥控制标准执行</w:t>
            </w:r>
            <w:r>
              <w:rPr>
                <w:rFonts w:hint="default" w:ascii="Times New Roman" w:hAnsi="Times New Roman" w:eastAsia="宋体" w:cs="Times New Roman"/>
                <w:color w:val="auto"/>
                <w:sz w:val="24"/>
                <w:lang w:eastAsia="zh-CN"/>
              </w:rPr>
              <w:t>《城镇污水处理站污染物排放标准》</w:t>
            </w:r>
            <w:r>
              <w:rPr>
                <w:rFonts w:hint="default" w:ascii="Times New Roman" w:hAnsi="Times New Roman" w:eastAsia="宋体" w:cs="Times New Roman"/>
                <w:color w:val="auto"/>
                <w:sz w:val="24"/>
              </w:rPr>
              <w:t>（GB18918-2002）规定，城镇污水处理厂的污泥应进行污泥脱水处理，脱水后污泥含水率应小于</w:t>
            </w:r>
            <w:r>
              <w:rPr>
                <w:rFonts w:hint="default" w:ascii="Times New Roman" w:hAnsi="Times New Roman" w:eastAsia="宋体" w:cs="Times New Roman"/>
                <w:color w:val="auto"/>
                <w:sz w:val="24"/>
                <w:lang w:val="en-US" w:eastAsia="zh-CN"/>
              </w:rPr>
              <w:t>60</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城镇污水处理厂的污泥应进行稳定化处理，稳定化处理后应达到表4-1</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规定的要求，处理后的污泥进行填埋处理时，应达到安全填埋的相关环境保护要求</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表4-1</w:t>
            </w:r>
            <w:r>
              <w:rPr>
                <w:rFonts w:hint="default" w:ascii="Times New Roman" w:hAnsi="Times New Roman" w:eastAsia="宋体" w:cs="Times New Roman"/>
                <w:b/>
                <w:color w:val="auto"/>
                <w:sz w:val="24"/>
                <w:szCs w:val="21"/>
                <w:lang w:val="en-US" w:eastAsia="zh-CN"/>
              </w:rPr>
              <w:t>4</w:t>
            </w:r>
            <w:r>
              <w:rPr>
                <w:rFonts w:hint="default" w:ascii="Times New Roman" w:hAnsi="Times New Roman" w:eastAsia="宋体" w:cs="Times New Roman"/>
                <w:b/>
                <w:color w:val="auto"/>
                <w:sz w:val="24"/>
                <w:szCs w:val="21"/>
              </w:rPr>
              <w:t>污泥稳定化控制指标</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4"/>
              <w:gridCol w:w="3291"/>
              <w:gridCol w:w="28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稳定化方法</w:t>
                  </w: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厌氧消化</w:t>
                  </w: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有机物降解率（%）</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好氧消化</w:t>
                  </w: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有机物降解率（%）</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vMerge w:val="restart"/>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好氧堆肥</w:t>
                  </w: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含水率（%）</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vMerge w:val="continue"/>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有机物降解率（%）</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vMerge w:val="continue"/>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蠕虫卵死亡率（%）</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4" w:type="dxa"/>
                  <w:vMerge w:val="continue"/>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p>
              </w:tc>
              <w:tc>
                <w:tcPr>
                  <w:tcW w:w="3291"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粪大肠菌群值</w:t>
                  </w:r>
                </w:p>
              </w:tc>
              <w:tc>
                <w:tcPr>
                  <w:tcW w:w="2879" w:type="dxa"/>
                  <w:tcBorders>
                    <w:tl2br w:val="nil"/>
                    <w:tr2bl w:val="nil"/>
                  </w:tcBorders>
                  <w:noWrap/>
                  <w:vAlign w:val="center"/>
                </w:tcPr>
                <w:p>
                  <w:pPr>
                    <w:pStyle w:val="7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&gt;0.01</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一般固体废物处置执行《一般固体废物贮存、处置场污染控制标准》（GB18599-2001）及2013年修改单中的有关规定；危险废物执行《危险废物贮存污染控制标准》（GB18597-2001）及2013年修改单中的有关规定。</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04" w:type="dxa"/>
            <w:tcBorders>
              <w:tl2br w:val="nil"/>
              <w:tr2bl w:val="nil"/>
            </w:tcBorders>
            <w:vAlign w:val="center"/>
          </w:tcPr>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总</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量</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控</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制</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指</w:t>
            </w:r>
          </w:p>
          <w:p>
            <w:pPr>
              <w:adjustRightInd w:val="0"/>
              <w:snapToGrid w:val="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标</w:t>
            </w:r>
          </w:p>
        </w:tc>
        <w:tc>
          <w:tcPr>
            <w:tcW w:w="8850"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rPr>
              <w:t>根据山西省环境保护厅晋环发【2015】25 号文关于印发《山西省环境保护厅建设项目主要污染物排放总量核定办法》：“城镇污水处理厂及集中式工业污</w:t>
            </w:r>
            <w:r>
              <w:rPr>
                <w:rFonts w:hint="default"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lang w:val="zh-CN"/>
              </w:rPr>
              <w:t>处理厂不需核定污水污染物排放总量指标，按照负荷率和出水标准对其运行情况进行考核。”本项目为城镇污水处理厂，无需核定和申请水污染物排放总量指标。</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本评价仅给出中总量控制指标建议值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CODcr</w:t>
            </w:r>
            <w:r>
              <w:rPr>
                <w:rFonts w:hint="default" w:ascii="Times New Roman" w:hAnsi="Times New Roman" w:eastAsia="宋体" w:cs="Times New Roman"/>
                <w:color w:val="auto"/>
                <w:sz w:val="24"/>
                <w:szCs w:val="24"/>
                <w:lang w:val="en-US" w:eastAsia="zh-CN"/>
              </w:rPr>
              <w:t>44.38t/a、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2.19t/a</w:t>
            </w:r>
            <w:r>
              <w:rPr>
                <w:rFonts w:hint="default" w:ascii="Times New Roman" w:hAnsi="Times New Roman" w:eastAsia="宋体" w:cs="Times New Roman"/>
                <w:color w:val="auto"/>
                <w:sz w:val="24"/>
                <w:szCs w:val="24"/>
                <w:lang w:val="zh-CN"/>
              </w:rPr>
              <w:t>。</w:t>
            </w: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tc>
      </w:tr>
    </w:tbl>
    <w:p>
      <w:pPr>
        <w:pStyle w:val="5"/>
        <w:spacing w:before="0" w:after="0" w:line="600" w:lineRule="exact"/>
        <w:rPr>
          <w:rFonts w:hint="default" w:ascii="Times New Roman" w:hAnsi="Times New Roman" w:eastAsia="宋体" w:cs="Times New Roman"/>
          <w:b w:val="0"/>
          <w:color w:val="auto"/>
          <w:kern w:val="0"/>
        </w:rPr>
      </w:pPr>
      <w:r>
        <w:rPr>
          <w:rFonts w:hint="default" w:ascii="Times New Roman" w:hAnsi="Times New Roman" w:eastAsia="宋体" w:cs="Times New Roman"/>
          <w:color w:val="auto"/>
          <w:sz w:val="28"/>
        </w:rPr>
        <w:br w:type="page"/>
      </w:r>
      <w:r>
        <w:rPr>
          <w:rFonts w:hint="default" w:ascii="Times New Roman" w:hAnsi="Times New Roman" w:eastAsia="宋体" w:cs="Times New Roman"/>
          <w:color w:val="auto"/>
          <w:kern w:val="0"/>
          <w:sz w:val="30"/>
          <w:szCs w:val="30"/>
          <w:u w:color="000000"/>
        </w:rPr>
        <w:t>建设项目工程分析</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2800" w:hRule="atLeast"/>
          <w:jc w:val="center"/>
        </w:trPr>
        <w:tc>
          <w:tcPr>
            <w:tcW w:w="923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工艺流程简述</w:t>
            </w:r>
          </w:p>
          <w:p>
            <w:pPr>
              <w:keepNext w:val="0"/>
              <w:keepLines w:val="0"/>
              <w:pageBreakBefore w:val="0"/>
              <w:widowControl w:val="0"/>
              <w:kinsoku/>
              <w:wordWrap/>
              <w:overflowPunct/>
              <w:topLinePunct w:val="0"/>
              <w:autoSpaceDE/>
              <w:autoSpaceDN/>
              <w:bidi w:val="0"/>
              <w:adjustRightInd w:val="0"/>
              <w:spacing w:line="480" w:lineRule="exact"/>
              <w:ind w:firstLine="480" w:firstLineChars="200"/>
              <w:jc w:val="left"/>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bCs/>
                <w:color w:val="auto"/>
                <w:kern w:val="0"/>
                <w:sz w:val="24"/>
              </w:rPr>
              <w:t>本项目污染影响时段主要为施工期和运营期</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autoSpaceDN/>
              <w:bidi w:val="0"/>
              <w:spacing w:line="480" w:lineRule="exact"/>
              <w:jc w:val="left"/>
              <w:textAlignment w:val="baseline"/>
              <w:rPr>
                <w:rFonts w:hint="default" w:ascii="Times New Roman" w:hAnsi="Times New Roman" w:eastAsia="宋体" w:cs="Times New Roman"/>
                <w:b/>
                <w:bCs/>
                <w:color w:val="auto"/>
                <w:spacing w:val="4"/>
                <w:sz w:val="24"/>
              </w:rPr>
            </w:pPr>
            <w:r>
              <w:rPr>
                <w:rFonts w:hint="default" w:ascii="Times New Roman" w:hAnsi="Times New Roman" w:eastAsia="宋体" w:cs="Times New Roman"/>
                <w:b/>
                <w:bCs/>
                <w:color w:val="auto"/>
                <w:spacing w:val="4"/>
                <w:sz w:val="24"/>
              </w:rPr>
              <w:t>5.1工艺流程</w:t>
            </w:r>
          </w:p>
          <w:p>
            <w:pPr>
              <w:keepNext w:val="0"/>
              <w:keepLines w:val="0"/>
              <w:pageBreakBefore w:val="0"/>
              <w:widowControl w:val="0"/>
              <w:kinsoku/>
              <w:wordWrap/>
              <w:overflowPunct/>
              <w:topLinePunct w:val="0"/>
              <w:autoSpaceDE/>
              <w:autoSpaceDN/>
              <w:bidi w:val="0"/>
              <w:spacing w:line="480" w:lineRule="exact"/>
              <w:jc w:val="left"/>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5.1.1施工期工艺流程简述</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本项目污水处理厂施工期工艺流程图见图5-1。</w:t>
            </w:r>
          </w:p>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207pt;width:417.75pt;" o:ole="t" filled="f" o:preferrelative="t" stroked="f" coordsize="21600,21600">
                  <v:path/>
                  <v:fill on="f" focussize="0,0"/>
                  <v:stroke on="f" joinstyle="miter"/>
                  <v:imagedata r:id="rId29" o:title=""/>
                  <o:lock v:ext="edit" aspectratio="t"/>
                  <w10:wrap type="none"/>
                  <w10:anchorlock/>
                </v:shape>
                <o:OLEObject Type="Embed" ProgID="Equation.DSMT4" ShapeID="_x0000_i1025" DrawAspect="Content" ObjectID="_1468075725" r:id="rId28">
                  <o:LockedField>false</o:LockedField>
                </o:OLEObject>
              </w:object>
            </w:r>
          </w:p>
          <w:p>
            <w:pPr>
              <w:spacing w:line="480" w:lineRule="exact"/>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图5-1  污水处理厂施工期工艺流程及产污环节图</w:t>
            </w:r>
          </w:p>
          <w:p>
            <w:pPr>
              <w:keepNext w:val="0"/>
              <w:keepLines w:val="0"/>
              <w:pageBreakBefore w:val="0"/>
              <w:widowControl w:val="0"/>
              <w:kinsoku/>
              <w:wordWrap/>
              <w:overflowPunct/>
              <w:topLinePunct w:val="0"/>
              <w:bidi w:val="0"/>
              <w:adjustRightInd/>
              <w:snapToGrid/>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pacing w:val="4"/>
                <w:sz w:val="24"/>
              </w:rPr>
              <w:t>5.1.2</w:t>
            </w:r>
            <w:r>
              <w:rPr>
                <w:rFonts w:hint="default" w:ascii="Times New Roman" w:hAnsi="Times New Roman" w:eastAsia="宋体" w:cs="Times New Roman"/>
                <w:b/>
                <w:bCs/>
                <w:color w:val="auto"/>
                <w:sz w:val="24"/>
              </w:rPr>
              <w:t>运营期工艺流程简述：</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生活污水应急处理站运营期工艺流程如图5-2所示：</w:t>
            </w:r>
          </w:p>
          <w:p>
            <w:pPr>
              <w:autoSpaceDE w:val="0"/>
              <w:autoSpaceDN w:val="0"/>
              <w:spacing w:line="360" w:lineRule="auto"/>
              <w:ind w:firstLine="480" w:firstLineChars="200"/>
              <w:outlineLvl w:val="0"/>
              <w:rPr>
                <w:rFonts w:hint="default" w:ascii="Times New Roman" w:hAnsi="Times New Roman" w:eastAsia="宋体" w:cs="Times New Roman"/>
                <w:bCs/>
                <w:color w:val="auto"/>
                <w:sz w:val="24"/>
                <w:szCs w:val="32"/>
              </w:rPr>
            </w:pPr>
          </w:p>
          <w:p>
            <w:pPr>
              <w:autoSpaceDE w:val="0"/>
              <w:autoSpaceDN w:val="0"/>
              <w:spacing w:line="360" w:lineRule="auto"/>
              <w:ind w:firstLine="480" w:firstLineChars="200"/>
              <w:outlineLvl w:val="0"/>
              <w:rPr>
                <w:rFonts w:hint="default" w:ascii="Times New Roman" w:hAnsi="Times New Roman" w:eastAsia="宋体" w:cs="Times New Roman"/>
                <w:bCs/>
                <w:color w:val="auto"/>
                <w:sz w:val="24"/>
                <w:szCs w:val="32"/>
              </w:rPr>
            </w:pPr>
          </w:p>
          <w:p>
            <w:pPr>
              <w:pStyle w:val="95"/>
              <w:rPr>
                <w:rFonts w:hint="default" w:ascii="Times New Roman" w:hAnsi="Times New Roman" w:eastAsia="宋体" w:cs="Times New Roman"/>
                <w:bCs/>
                <w:color w:val="auto"/>
                <w:szCs w:val="32"/>
              </w:rPr>
            </w:pPr>
          </w:p>
          <w:p>
            <w:pPr>
              <w:pStyle w:val="95"/>
              <w:rPr>
                <w:rFonts w:hint="default" w:ascii="Times New Roman" w:hAnsi="Times New Roman" w:eastAsia="宋体" w:cs="Times New Roman"/>
                <w:bCs/>
                <w:color w:val="auto"/>
                <w:szCs w:val="32"/>
              </w:rPr>
            </w:pPr>
          </w:p>
          <w:p>
            <w:pPr>
              <w:autoSpaceDE w:val="0"/>
              <w:autoSpaceDN w:val="0"/>
              <w:spacing w:line="360" w:lineRule="auto"/>
              <w:ind w:left="420" w:leftChars="200"/>
              <w:rPr>
                <w:rFonts w:hint="default" w:ascii="Times New Roman" w:hAnsi="Times New Roman" w:eastAsia="宋体" w:cs="Times New Roman"/>
                <w:color w:val="auto"/>
                <w:sz w:val="24"/>
              </w:rPr>
            </w:pPr>
          </w:p>
          <w:p>
            <w:pPr>
              <w:autoSpaceDE w:val="0"/>
              <w:autoSpaceDN w:val="0"/>
              <w:spacing w:line="360" w:lineRule="auto"/>
              <w:ind w:firstLine="480" w:firstLineChars="200"/>
              <w:jc w:val="left"/>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pict>
                <v:group id="_x0000_s2091" o:spid="_x0000_s2091" o:spt="203" style="position:absolute;left:0pt;margin-left:-2.7pt;margin-top:8.75pt;height:597.45pt;width:463.5pt;z-index:251663360;mso-width-relative:page;mso-height-relative:page;" coordorigin="3240,327148" coordsize="9270,11949">
                  <o:lock v:ext="edit" aspectratio="f"/>
                  <v:group id="_x0000_s2092" o:spid="_x0000_s2092" o:spt="203" style="position:absolute;left:5211;top:327148;height:11459;width:5348;" coordorigin="5211,327148" coordsize="5348,11459">
                    <o:lock v:ext="edit" aspectratio="f"/>
                    <v:shape id="任意多边形 29" o:spid="_x0000_s2093" style="position:absolute;left:9878;top:333119;height:550;width:3;" filled="f" stroked="t" coordsize="3,438" path="m3,0l0,438e">
                      <v:fill on="f" focussize="0,0"/>
                      <v:stroke weight="1.25pt" color="#000000" joinstyle="round" endarrow="block" endarrowwidth="narrow"/>
                      <v:imagedata o:title=""/>
                      <o:lock v:ext="edit" aspectratio="f"/>
                    </v:shape>
                    <v:shape id="文本框 33" o:spid="_x0000_s2094" o:spt="202" type="#_x0000_t202" style="position:absolute;left:9336;top:332644;height:473;width:1117;" filled="f" stroked="t" coordsize="21600,21600">
                      <v:path/>
                      <v:fill on="f" focussize="0,0"/>
                      <v:stroke weight="1.5pt" color="#000000" joinstyle="miter"/>
                      <v:imagedata o:title=""/>
                      <o:lock v:ext="edit" aspectratio="f"/>
                      <v:textbox inset="0.5mm,0.3mm,0.5mm,0.3mm">
                        <w:txbxContent>
                          <w:p>
                            <w:pPr>
                              <w:spacing w:line="360" w:lineRule="auto"/>
                              <w:ind w:firstLine="0" w:firstLineChars="0"/>
                              <w:jc w:val="center"/>
                              <w:rPr>
                                <w:b/>
                                <w:color w:val="auto"/>
                                <w:sz w:val="22"/>
                                <w:szCs w:val="18"/>
                              </w:rPr>
                            </w:pPr>
                            <w:r>
                              <w:rPr>
                                <w:rFonts w:hint="eastAsia"/>
                                <w:b/>
                                <w:color w:val="auto"/>
                                <w:sz w:val="22"/>
                                <w:szCs w:val="18"/>
                              </w:rPr>
                              <w:t>污泥池</w:t>
                            </w:r>
                          </w:p>
                        </w:txbxContent>
                      </v:textbox>
                    </v:shape>
                    <v:shape id="文本框 41" o:spid="_x0000_s2095" o:spt="202" type="#_x0000_t202" style="position:absolute;left:9185;top:333654;height:463;width:1375;" filled="f" stroked="t" coordsize="21600,21600">
                      <v:path/>
                      <v:fill on="f" focussize="0,0"/>
                      <v:stroke weight="1.5pt" color="#000000" joinstyle="miter"/>
                      <v:imagedata o:title=""/>
                      <o:lock v:ext="edit" aspectratio="f"/>
                      <v:textbox inset="1.5mm,0.3mm,1.5mm,0.3mm">
                        <w:txbxContent>
                          <w:p>
                            <w:pPr>
                              <w:spacing w:line="360" w:lineRule="auto"/>
                              <w:ind w:firstLine="0" w:firstLineChars="0"/>
                              <w:jc w:val="center"/>
                              <w:rPr>
                                <w:b/>
                                <w:color w:val="auto"/>
                                <w:sz w:val="24"/>
                                <w:szCs w:val="20"/>
                              </w:rPr>
                            </w:pPr>
                            <w:r>
                              <w:rPr>
                                <w:rFonts w:hint="eastAsia"/>
                                <w:b/>
                                <w:color w:val="auto"/>
                                <w:sz w:val="22"/>
                                <w:szCs w:val="18"/>
                              </w:rPr>
                              <w:t>叠螺压滤机</w:t>
                            </w:r>
                          </w:p>
                        </w:txbxContent>
                      </v:textbox>
                    </v:shape>
                    <v:shape id="任意多边形 42" o:spid="_x0000_s2096" style="position:absolute;left:7817;top:327722;height:556;width:3;" filled="f" stroked="t" coordsize="3,669" path="m0,0l3,669e">
                      <v:fill on="f" focussize="0,0"/>
                      <v:stroke weight="1.25pt" color="#0099FF" joinstyle="round" endarrow="block" endarrowwidth="narrow" endarrowlength="short"/>
                      <v:imagedata o:title=""/>
                      <o:lock v:ext="edit" aspectratio="f"/>
                    </v:shape>
                    <v:shape id="文本框 59" o:spid="_x0000_s2097" o:spt="202" type="#_x0000_t202" style="position:absolute;left:9336;top:334667;height:463;width:1117;" filled="f" stroked="t" coordsize="21600,21600">
                      <v:path/>
                      <v:fill on="f" focussize="0,0"/>
                      <v:stroke weight="1.5pt" color="#000000" joinstyle="miter"/>
                      <v:imagedata o:title=""/>
                      <o:lock v:ext="edit" aspectratio="f"/>
                      <v:textbox inset="1.5mm,0.3mm,1.5mm,0.3mm">
                        <w:txbxContent>
                          <w:p>
                            <w:pPr>
                              <w:spacing w:line="360" w:lineRule="auto"/>
                              <w:ind w:firstLine="0" w:firstLineChars="0"/>
                              <w:jc w:val="center"/>
                              <w:rPr>
                                <w:b/>
                                <w:color w:val="auto"/>
                                <w:sz w:val="22"/>
                                <w:szCs w:val="18"/>
                              </w:rPr>
                            </w:pPr>
                            <w:r>
                              <w:rPr>
                                <w:rFonts w:hint="eastAsia"/>
                                <w:b/>
                                <w:color w:val="auto"/>
                                <w:sz w:val="22"/>
                                <w:szCs w:val="18"/>
                              </w:rPr>
                              <w:t>外  运</w:t>
                            </w:r>
                          </w:p>
                        </w:txbxContent>
                      </v:textbox>
                    </v:shape>
                    <v:shape id="任意多边形 61" o:spid="_x0000_s2098" style="position:absolute;left:7829;top:328799;height:556;width:3;" filled="f" stroked="t" coordsize="3,669" path="m0,0l3,669e">
                      <v:fill on="f" focussize="0,0"/>
                      <v:stroke weight="1.25pt" color="#0099FF" joinstyle="round" endarrow="block" endarrowwidth="narrow" endarrowlength="short"/>
                      <v:imagedata o:title=""/>
                      <o:lock v:ext="edit" aspectratio="f"/>
                    </v:shape>
                    <v:shape id="任意多边形 63" o:spid="_x0000_s2099" style="position:absolute;left:7832;top:329879;height:556;width:3;" filled="f" stroked="t" coordsize="3,669" path="m0,0l3,669e">
                      <v:fill on="f" focussize="0,0"/>
                      <v:stroke weight="1.25pt" color="#0099FF" joinstyle="round" endarrow="block" endarrowwidth="narrow" endarrowlength="short"/>
                      <v:imagedata o:title=""/>
                      <o:lock v:ext="edit" aspectratio="f"/>
                    </v:shape>
                    <v:shape id="_x0000_s2100" o:spid="_x0000_s2100" o:spt="202" type="#_x0000_t202" style="position:absolute;left:7230;top:327148;height:555;width:1185;" filled="f" stroked="t" coordsize="21600,21600">
                      <v:path/>
                      <v:fill on="f" focussize="0,0"/>
                      <v:stroke weight="1pt" color="#000000"/>
                      <v:imagedata o:title=""/>
                      <o:lock v:ext="edit" aspectratio="f"/>
                      <v:textbox>
                        <w:txbxContent>
                          <w:p>
                            <w:pPr>
                              <w:spacing w:line="360" w:lineRule="auto"/>
                              <w:jc w:val="center"/>
                              <w:rPr>
                                <w:rFonts w:hint="eastAsia" w:eastAsia="宋体"/>
                                <w:lang w:eastAsia="zh-CN"/>
                              </w:rPr>
                            </w:pPr>
                            <w:r>
                              <w:rPr>
                                <w:rFonts w:hint="eastAsia"/>
                                <w:lang w:eastAsia="zh-CN"/>
                              </w:rPr>
                              <w:t>生活污水</w:t>
                            </w:r>
                          </w:p>
                        </w:txbxContent>
                      </v:textbox>
                    </v:shape>
                    <v:line id="_x0000_s2101" o:spid="_x0000_s2101" o:spt="20" style="position:absolute;left:7830;top:330159;flip:x;height:1;width:945;" fillcolor="#FFFFFF" filled="t" stroked="t" coordsize="21600,21600">
                      <v:path arrowok="t"/>
                      <v:fill on="t" color2="#FFFFFF" focussize="0,0"/>
                      <v:stroke color="#000000" endarrow="open"/>
                      <v:imagedata o:title=""/>
                      <o:lock v:ext="edit" aspectratio="f"/>
                    </v:line>
                    <v:shape id="任意多边形 65" o:spid="_x0000_s2102" style="position:absolute;left:7836;top:330959;height:556;width:3;" filled="f" stroked="t" coordsize="3,669" path="m0,0l3,669e">
                      <v:fill on="f" focussize="0,0"/>
                      <v:stroke weight="1.25pt" color="#0099FF" joinstyle="round" endarrow="block" endarrowwidth="narrow" endarrowlength="short"/>
                      <v:imagedata o:title=""/>
                      <o:lock v:ext="edit" aspectratio="f"/>
                    </v:shape>
                    <v:shape id="任意多边形 67" o:spid="_x0000_s2103" style="position:absolute;left:7824;top:332024;height:556;width:3;" filled="f" stroked="t" coordsize="3,669" path="m0,0l3,669e">
                      <v:fill on="f" focussize="0,0"/>
                      <v:stroke weight="1.25pt" color="#0099FF" joinstyle="round" endarrow="block" endarrowwidth="narrow" endarrowlength="short"/>
                      <v:imagedata o:title=""/>
                      <o:lock v:ext="edit" aspectratio="f"/>
                    </v:shape>
                    <v:shape id="任意多边形 69" o:spid="_x0000_s2104" style="position:absolute;left:9890;top:334132;height:550;width:3;" filled="f" stroked="t" coordsize="3,438" path="m3,0l0,438e">
                      <v:fill on="f" focussize="0,0"/>
                      <v:stroke weight="1.25pt" color="#000000" joinstyle="round" endarrow="block" endarrowwidth="narrow"/>
                      <v:imagedata o:title=""/>
                      <o:lock v:ext="edit" aspectratio="f"/>
                    </v:shape>
                    <v:shape id="任意多边形 70" o:spid="_x0000_s2105" style="position:absolute;left:7782;top:333164;height:556;width:3;" filled="f" stroked="t" coordsize="3,669" path="m0,0l3,669e">
                      <v:fill on="f" focussize="0,0"/>
                      <v:stroke weight="1.25pt" color="#0099FF" joinstyle="round" endarrow="block" endarrowwidth="narrow" endarrowlength="short"/>
                      <v:imagedata o:title=""/>
                      <o:lock v:ext="edit" aspectratio="f"/>
                    </v:shape>
                    <v:shape id="任意多边形 72" o:spid="_x0000_s2106" style="position:absolute;left:7770;top:334229;height:556;width:3;" filled="f" stroked="t" coordsize="3,669" path="m0,0l3,669e">
                      <v:fill on="f" focussize="0,0"/>
                      <v:stroke weight="1.25pt" color="#0099FF" joinstyle="round" endarrow="block" endarrowwidth="narrow" endarrowlength="short"/>
                      <v:imagedata o:title=""/>
                      <o:lock v:ext="edit" aspectratio="f"/>
                    </v:shape>
                    <v:shape id="任意多边形 74" o:spid="_x0000_s2107" style="position:absolute;left:7735;top:335309;height:556;width:3;" filled="f" stroked="t" coordsize="3,669" path="m0,0l3,669e">
                      <v:fill on="f" focussize="0,0"/>
                      <v:stroke weight="1.25pt" color="#0099FF" joinstyle="round" endarrow="block" endarrowwidth="narrow" endarrowlength="short"/>
                      <v:imagedata o:title=""/>
                      <o:lock v:ext="edit" aspectratio="f"/>
                    </v:shape>
                    <v:shape id="任意多边形 76" o:spid="_x0000_s2108" style="position:absolute;left:7708;top:336419;height:556;width:3;" filled="f" stroked="t" coordsize="3,669" path="m0,0l3,669e">
                      <v:fill on="f" focussize="0,0"/>
                      <v:stroke weight="1.25pt" color="#0099FF" joinstyle="round" endarrow="block" endarrowwidth="narrow" endarrowlength="short"/>
                      <v:imagedata o:title=""/>
                      <o:lock v:ext="edit" aspectratio="f"/>
                    </v:shape>
                    <v:shape id="_x0000_s2109" o:spid="_x0000_s2109" o:spt="202" type="#_x0000_t202" style="position:absolute;left:7200;top:328258;height:555;width:1185;"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eastAsia="zh-CN"/>
                              </w:rPr>
                              <w:t>格栅间</w:t>
                            </w:r>
                          </w:p>
                        </w:txbxContent>
                      </v:textbox>
                    </v:shape>
                    <v:shape id="_x0000_s2110" o:spid="_x0000_s2110" o:spt="202" type="#_x0000_t202" style="position:absolute;left:7215;top:329338;height:555;width:1185;"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eastAsia="zh-CN"/>
                              </w:rPr>
                              <w:t>调节池</w:t>
                            </w:r>
                          </w:p>
                        </w:txbxContent>
                      </v:textbox>
                    </v:shape>
                    <v:shape id="_x0000_s2111" o:spid="_x0000_s2111" o:spt="202" type="#_x0000_t202" style="position:absolute;left:7230;top:330403;height:555;width:1185;"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eastAsia="zh-CN"/>
                              </w:rPr>
                              <w:t>厌氧池</w:t>
                            </w:r>
                          </w:p>
                        </w:txbxContent>
                      </v:textbox>
                    </v:shape>
                    <v:shape id="_x0000_s2112" o:spid="_x0000_s2112" o:spt="202" type="#_x0000_t202" style="position:absolute;left:7230;top:331483;height:555;width:1185;"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eastAsia="zh-CN"/>
                              </w:rPr>
                              <w:t>缺氧池</w:t>
                            </w:r>
                          </w:p>
                        </w:txbxContent>
                      </v:textbox>
                    </v:shape>
                    <v:shape id="_x0000_s2113" o:spid="_x0000_s2113" o:spt="202" type="#_x0000_t202" style="position:absolute;left:7215;top:332563;height:555;width:1185;"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val="en-US" w:eastAsia="zh-CN"/>
                              </w:rPr>
                              <w:t>好氧池</w:t>
                            </w:r>
                          </w:p>
                        </w:txbxContent>
                      </v:textbox>
                    </v:shape>
                    <v:shape id="_x0000_s2114" o:spid="_x0000_s2114" o:spt="202" type="#_x0000_t202" style="position:absolute;left:7155;top:333688;height:555;width:1185;" filled="f" stroked="t" coordsize="21600,21600">
                      <v:path/>
                      <v:fill on="f" focussize="0,0"/>
                      <v:stroke weight="1pt" color="#000000" joinstyle="miter"/>
                      <v:imagedata o:title=""/>
                      <o:lock v:ext="edit" aspectratio="f"/>
                      <v:textbox>
                        <w:txbxContent>
                          <w:p>
                            <w:pPr>
                              <w:spacing w:line="360" w:lineRule="auto"/>
                              <w:jc w:val="center"/>
                              <w:rPr>
                                <w:rFonts w:hint="default" w:eastAsia="宋体"/>
                                <w:lang w:val="en-US" w:eastAsia="zh-CN"/>
                              </w:rPr>
                            </w:pPr>
                            <w:r>
                              <w:rPr>
                                <w:rFonts w:hint="eastAsia"/>
                                <w:lang w:val="en-US" w:eastAsia="zh-CN"/>
                              </w:rPr>
                              <w:t>MBR池</w:t>
                            </w:r>
                          </w:p>
                        </w:txbxContent>
                      </v:textbox>
                    </v:shape>
                    <v:shape id="_x0000_s2115" o:spid="_x0000_s2115" o:spt="202" type="#_x0000_t202" style="position:absolute;left:7155;top:334753;height:555;width:1185;"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val="en-US" w:eastAsia="zh-CN"/>
                              </w:rPr>
                              <w:t>中间水池</w:t>
                            </w:r>
                          </w:p>
                        </w:txbxContent>
                      </v:textbox>
                    </v:shape>
                    <v:shape id="_x0000_s2116" o:spid="_x0000_s2116" o:spt="202" type="#_x0000_t202" style="position:absolute;left:7139;top:335848;height:555;width:1200;"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val="en-US" w:eastAsia="zh-CN"/>
                              </w:rPr>
                              <w:t>清水池</w:t>
                            </w:r>
                          </w:p>
                        </w:txbxContent>
                      </v:textbox>
                    </v:shape>
                    <v:shape id="_x0000_s2117" o:spid="_x0000_s2117" o:spt="202" type="#_x0000_t202" style="position:absolute;left:6795;top:336943;height:555;width:1843;"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val="en-US" w:eastAsia="zh-CN"/>
                              </w:rPr>
                              <w:t>二八明渠流量计</w:t>
                            </w:r>
                          </w:p>
                        </w:txbxContent>
                      </v:textbox>
                    </v:shape>
                    <v:shape id="任意多边形 76" o:spid="_x0000_s2118" style="position:absolute;left:7693;top:337514;height:556;width:3;" filled="f" stroked="t" coordsize="3,669" path="m0,0l3,669e">
                      <v:fill on="f" focussize="0,0"/>
                      <v:stroke weight="1.25pt" color="#0099FF" joinstyle="round" endarrow="block" endarrowwidth="narrow" endarrowlength="short"/>
                      <v:imagedata o:title=""/>
                      <o:lock v:ext="edit" aspectratio="f"/>
                    </v:shape>
                    <v:shape id="_x0000_s2119" o:spid="_x0000_s2119" o:spt="202" type="#_x0000_t202" style="position:absolute;left:7094;top:338053;height:555;width:1200;" filled="f" stroked="t" coordsize="21600,21600">
                      <v:path/>
                      <v:fill on="f" focussize="0,0"/>
                      <v:stroke weight="1pt" color="#000000" joinstyle="miter"/>
                      <v:imagedata o:title=""/>
                      <o:lock v:ext="edit" aspectratio="f"/>
                      <v:textbox>
                        <w:txbxContent>
                          <w:p>
                            <w:pPr>
                              <w:spacing w:line="360" w:lineRule="auto"/>
                              <w:jc w:val="center"/>
                              <w:rPr>
                                <w:rFonts w:hint="eastAsia" w:eastAsia="宋体"/>
                                <w:lang w:eastAsia="zh-CN"/>
                              </w:rPr>
                            </w:pPr>
                            <w:r>
                              <w:rPr>
                                <w:rFonts w:hint="eastAsia"/>
                                <w:lang w:val="en-US" w:eastAsia="zh-CN"/>
                              </w:rPr>
                              <w:t>滹沱河</w:t>
                            </w:r>
                          </w:p>
                        </w:txbxContent>
                      </v:textbox>
                    </v:shape>
                    <v:line id="_x0000_s2120" o:spid="_x0000_s2120" o:spt="20" style="position:absolute;left:8415;top:332859;height:1;width:915;" filled="f" stroked="t" coordsize="21600,21600">
                      <v:path arrowok="t"/>
                      <v:fill on="f" focussize="0,0"/>
                      <v:stroke color="#000000" endarrow="open"/>
                      <v:imagedata o:title=""/>
                      <o:lock v:ext="edit" aspectratio="f"/>
                    </v:line>
                    <v:shape id="文本框 33" o:spid="_x0000_s2121" o:spt="202" type="#_x0000_t202" style="position:absolute;left:8781;top:329944;height:473;width:1476;" filled="f" stroked="t" coordsize="21600,21600">
                      <v:path/>
                      <v:fill on="f" focussize="0,0"/>
                      <v:stroke weight="1.5pt" color="#000000" joinstyle="miter"/>
                      <v:imagedata o:title=""/>
                      <o:lock v:ext="edit" aspectratio="f"/>
                      <v:textbox inset="0.5mm,0.3mm,0.5mm,0.3mm">
                        <w:txbxContent>
                          <w:p>
                            <w:pPr>
                              <w:spacing w:line="360" w:lineRule="auto"/>
                              <w:ind w:firstLine="0" w:firstLineChars="0"/>
                              <w:jc w:val="center"/>
                              <w:rPr>
                                <w:rFonts w:hint="eastAsia" w:eastAsia="宋体"/>
                                <w:b/>
                                <w:color w:val="auto"/>
                                <w:sz w:val="22"/>
                                <w:szCs w:val="18"/>
                                <w:lang w:eastAsia="zh-CN"/>
                              </w:rPr>
                            </w:pPr>
                            <w:r>
                              <w:rPr>
                                <w:rFonts w:hint="eastAsia"/>
                                <w:b/>
                                <w:color w:val="auto"/>
                                <w:sz w:val="22"/>
                                <w:szCs w:val="18"/>
                                <w:lang w:eastAsia="zh-CN"/>
                              </w:rPr>
                              <w:t>加药（碳源）</w:t>
                            </w:r>
                          </w:p>
                        </w:txbxContent>
                      </v:textbox>
                    </v:shape>
                    <v:line id="_x0000_s2122" o:spid="_x0000_s2122" o:spt="20" style="position:absolute;left:6705;top:334525;flip:y;height:14;width:1050;" filled="f" stroked="t" coordsize="21600,21600">
                      <v:path arrowok="t"/>
                      <v:fill on="f" focussize="0,0"/>
                      <v:stroke color="#000000" endarrow="open"/>
                      <v:imagedata o:title=""/>
                      <o:lock v:ext="edit" aspectratio="f"/>
                    </v:line>
                    <v:shape id="文本框 33" o:spid="_x0000_s2123" o:spt="202" type="#_x0000_t202" style="position:absolute;left:5211;top:334190;height:712;width:1476;" filled="f" stroked="t" coordsize="21600,21600">
                      <v:path/>
                      <v:fill on="f" focussize="0,0"/>
                      <v:stroke weight="1.5pt" color="#000000" joinstyle="miter"/>
                      <v:imagedata o:title=""/>
                      <o:lock v:ext="edit" aspectratio="f"/>
                      <v:textbox inset="0.5mm,0.3mm,0.5mm,0.3mm">
                        <w:txbxContent>
                          <w:p>
                            <w:pPr>
                              <w:spacing w:line="240" w:lineRule="auto"/>
                              <w:ind w:firstLine="0" w:firstLineChars="0"/>
                              <w:jc w:val="center"/>
                              <w:rPr>
                                <w:rFonts w:hint="eastAsia" w:eastAsia="宋体"/>
                                <w:b/>
                                <w:color w:val="auto"/>
                                <w:sz w:val="22"/>
                                <w:szCs w:val="18"/>
                                <w:lang w:eastAsia="zh-CN"/>
                              </w:rPr>
                            </w:pPr>
                            <w:r>
                              <w:rPr>
                                <w:rFonts w:hint="eastAsia"/>
                                <w:b/>
                                <w:color w:val="auto"/>
                                <w:sz w:val="22"/>
                                <w:szCs w:val="18"/>
                                <w:lang w:eastAsia="zh-CN"/>
                              </w:rPr>
                              <w:t>加药（次氯酸钠、</w:t>
                            </w:r>
                            <w:r>
                              <w:rPr>
                                <w:rFonts w:hint="eastAsia"/>
                                <w:b/>
                                <w:color w:val="auto"/>
                                <w:sz w:val="22"/>
                                <w:szCs w:val="18"/>
                                <w:lang w:val="en-US" w:eastAsia="zh-CN"/>
                              </w:rPr>
                              <w:t>PAC</w:t>
                            </w:r>
                            <w:r>
                              <w:rPr>
                                <w:rFonts w:hint="eastAsia"/>
                                <w:b/>
                                <w:color w:val="auto"/>
                                <w:sz w:val="22"/>
                                <w:szCs w:val="18"/>
                                <w:lang w:eastAsia="zh-CN"/>
                              </w:rPr>
                              <w:t>）</w:t>
                            </w:r>
                          </w:p>
                        </w:txbxContent>
                      </v:textbox>
                    </v:shape>
                  </v:group>
                  <v:shape id="_x0000_s2124" o:spid="_x0000_s2124" o:spt="202" type="#_x0000_t202" style="position:absolute;left:3240;top:338663;height:435;width:9270;" filled="f" stroked="f" coordsize="21600,21600">
                    <v:path/>
                    <v:fill on="f" focussize="0,0"/>
                    <v:stroke on="f" dashstyle="dash"/>
                    <v:imagedata o:title=""/>
                    <o:lock v:ext="edit" aspectratio="f"/>
                    <v:textbox>
                      <w:txbxContent>
                        <w:p>
                          <w:pPr>
                            <w:jc w:val="center"/>
                            <w:rPr>
                              <w:rFonts w:hint="default" w:eastAsia="宋体"/>
                              <w:b/>
                              <w:bCs/>
                              <w:color w:val="auto"/>
                              <w:sz w:val="24"/>
                              <w:szCs w:val="32"/>
                              <w:lang w:val="en-US" w:eastAsia="zh-CN"/>
                            </w:rPr>
                          </w:pPr>
                          <w:r>
                            <w:rPr>
                              <w:rFonts w:hint="eastAsia"/>
                              <w:b/>
                              <w:bCs/>
                              <w:color w:val="auto"/>
                              <w:sz w:val="24"/>
                              <w:szCs w:val="32"/>
                              <w:lang w:eastAsia="zh-CN"/>
                            </w:rPr>
                            <w:t>图</w:t>
                          </w:r>
                          <w:r>
                            <w:rPr>
                              <w:rFonts w:hint="eastAsia"/>
                              <w:b/>
                              <w:bCs/>
                              <w:color w:val="auto"/>
                              <w:sz w:val="24"/>
                              <w:szCs w:val="32"/>
                              <w:lang w:val="en-US" w:eastAsia="zh-CN"/>
                            </w:rPr>
                            <w:t>5-2  运营期工艺流程图</w:t>
                          </w:r>
                        </w:p>
                      </w:txbxContent>
                    </v:textbox>
                  </v:shape>
                </v:group>
              </w:pict>
            </w: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ind w:firstLine="480" w:firstLineChars="200"/>
              <w:rPr>
                <w:rFonts w:hint="default" w:ascii="Times New Roman" w:hAnsi="Times New Roman" w:eastAsia="宋体" w:cs="Times New Roman"/>
                <w:color w:val="auto"/>
                <w:sz w:val="24"/>
              </w:rPr>
            </w:pPr>
          </w:p>
          <w:p>
            <w:pPr>
              <w:autoSpaceDE w:val="0"/>
              <w:autoSpaceDN w:val="0"/>
              <w:spacing w:line="360" w:lineRule="auto"/>
              <w:rPr>
                <w:rFonts w:hint="default" w:ascii="Times New Roman" w:hAnsi="Times New Roman" w:eastAsia="宋体" w:cs="Times New Roman"/>
                <w:color w:val="auto"/>
                <w:sz w:val="24"/>
              </w:rPr>
            </w:pPr>
          </w:p>
          <w:p>
            <w:pPr>
              <w:tabs>
                <w:tab w:val="left" w:pos="1710"/>
              </w:tabs>
              <w:autoSpaceDE w:val="0"/>
              <w:autoSpaceDN w:val="0"/>
              <w:spacing w:line="360" w:lineRule="auto"/>
              <w:ind w:firstLine="420" w:firstLineChars="200"/>
              <w:jc w:val="center"/>
              <w:rPr>
                <w:rFonts w:hint="default" w:ascii="Times New Roman" w:hAnsi="Times New Roman" w:eastAsia="宋体" w:cs="Times New Roman"/>
                <w:color w:val="auto"/>
                <w:szCs w:val="21"/>
              </w:rPr>
            </w:pPr>
          </w:p>
          <w:p>
            <w:pPr>
              <w:tabs>
                <w:tab w:val="left" w:pos="1710"/>
              </w:tabs>
              <w:autoSpaceDE w:val="0"/>
              <w:autoSpaceDN w:val="0"/>
              <w:spacing w:line="360" w:lineRule="auto"/>
              <w:ind w:firstLine="420" w:firstLineChars="200"/>
              <w:jc w:val="center"/>
              <w:rPr>
                <w:rFonts w:hint="default" w:ascii="Times New Roman" w:hAnsi="Times New Roman" w:eastAsia="宋体" w:cs="Times New Roman"/>
                <w:color w:val="auto"/>
                <w:szCs w:val="21"/>
              </w:rPr>
            </w:pPr>
          </w:p>
          <w:p>
            <w:pPr>
              <w:tabs>
                <w:tab w:val="left" w:pos="1710"/>
              </w:tabs>
              <w:autoSpaceDE w:val="0"/>
              <w:autoSpaceDN w:val="0"/>
              <w:spacing w:line="360" w:lineRule="auto"/>
              <w:ind w:firstLine="420" w:firstLineChars="200"/>
              <w:jc w:val="center"/>
              <w:rPr>
                <w:rFonts w:hint="default" w:ascii="Times New Roman" w:hAnsi="Times New Roman" w:eastAsia="宋体" w:cs="Times New Roman"/>
                <w:color w:val="auto"/>
                <w:szCs w:val="21"/>
              </w:rPr>
            </w:pPr>
          </w:p>
          <w:p>
            <w:pPr>
              <w:tabs>
                <w:tab w:val="left" w:pos="1710"/>
              </w:tabs>
              <w:autoSpaceDE w:val="0"/>
              <w:autoSpaceDN w:val="0"/>
              <w:spacing w:line="360" w:lineRule="auto"/>
              <w:ind w:firstLine="420" w:firstLineChars="200"/>
              <w:jc w:val="center"/>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spacing w:line="480" w:lineRule="exact"/>
              <w:jc w:val="center"/>
              <w:rPr>
                <w:rFonts w:hint="default" w:ascii="Times New Roman" w:hAnsi="Times New Roman" w:eastAsia="宋体" w:cs="Times New Roman"/>
                <w:b/>
                <w:bCs/>
                <w:color w:val="auto"/>
                <w:sz w:val="24"/>
                <w:szCs w:val="32"/>
              </w:rPr>
            </w:pPr>
          </w:p>
          <w:p>
            <w:pPr>
              <w:spacing w:line="480" w:lineRule="exact"/>
              <w:jc w:val="center"/>
              <w:rPr>
                <w:rFonts w:hint="default" w:ascii="Times New Roman" w:hAnsi="Times New Roman" w:eastAsia="宋体" w:cs="Times New Roman"/>
                <w:b/>
                <w:bCs/>
                <w:color w:val="auto"/>
                <w:sz w:val="24"/>
                <w:szCs w:val="32"/>
              </w:rPr>
            </w:pPr>
          </w:p>
          <w:p>
            <w:pPr>
              <w:spacing w:line="480" w:lineRule="exact"/>
              <w:jc w:val="center"/>
              <w:rPr>
                <w:rFonts w:hint="default" w:ascii="Times New Roman" w:hAnsi="Times New Roman" w:eastAsia="宋体" w:cs="Times New Roman"/>
                <w:b/>
                <w:bCs/>
                <w:color w:val="auto"/>
                <w:sz w:val="24"/>
                <w:szCs w:val="32"/>
              </w:rPr>
            </w:pPr>
          </w:p>
          <w:p>
            <w:pPr>
              <w:pageBreakBefore w:val="0"/>
              <w:widowControl w:val="0"/>
              <w:kinsoku/>
              <w:wordWrap/>
              <w:overflowPunct/>
              <w:topLinePunct w:val="0"/>
              <w:autoSpaceDE/>
              <w:autoSpaceDN/>
              <w:bidi w:val="0"/>
              <w:spacing w:line="480" w:lineRule="exact"/>
              <w:ind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工艺流程简述：</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来水由</w:t>
            </w:r>
            <w:r>
              <w:rPr>
                <w:rFonts w:hint="default" w:ascii="Times New Roman" w:hAnsi="Times New Roman" w:eastAsia="宋体" w:cs="Times New Roman"/>
                <w:color w:val="auto"/>
                <w:sz w:val="24"/>
                <w:szCs w:val="24"/>
                <w:lang w:eastAsia="zh-CN"/>
              </w:rPr>
              <w:t>提升井提升</w:t>
            </w:r>
            <w:r>
              <w:rPr>
                <w:rFonts w:hint="default" w:ascii="Times New Roman" w:hAnsi="Times New Roman" w:eastAsia="宋体" w:cs="Times New Roman"/>
                <w:color w:val="auto"/>
                <w:sz w:val="24"/>
                <w:szCs w:val="24"/>
              </w:rPr>
              <w:t>进入</w:t>
            </w:r>
            <w:r>
              <w:rPr>
                <w:rFonts w:hint="default" w:ascii="Times New Roman" w:hAnsi="Times New Roman" w:eastAsia="宋体" w:cs="Times New Roman"/>
                <w:color w:val="auto"/>
                <w:sz w:val="24"/>
                <w:szCs w:val="24"/>
                <w:lang w:eastAsia="zh-CN"/>
              </w:rPr>
              <w:t>格栅间</w:t>
            </w:r>
            <w:r>
              <w:rPr>
                <w:rFonts w:hint="default" w:ascii="Times New Roman" w:hAnsi="Times New Roman" w:eastAsia="宋体" w:cs="Times New Roman"/>
                <w:color w:val="auto"/>
                <w:sz w:val="24"/>
                <w:szCs w:val="24"/>
              </w:rPr>
              <w:t>由</w:t>
            </w:r>
            <w:r>
              <w:rPr>
                <w:rFonts w:hint="default" w:ascii="Times New Roman" w:hAnsi="Times New Roman" w:eastAsia="宋体" w:cs="Times New Roman"/>
                <w:color w:val="auto"/>
                <w:sz w:val="24"/>
                <w:szCs w:val="24"/>
                <w:lang w:eastAsia="zh-CN"/>
              </w:rPr>
              <w:t>格栅机</w:t>
            </w:r>
            <w:r>
              <w:rPr>
                <w:rFonts w:hint="default" w:ascii="Times New Roman" w:hAnsi="Times New Roman" w:eastAsia="宋体" w:cs="Times New Roman"/>
                <w:color w:val="auto"/>
                <w:sz w:val="24"/>
                <w:szCs w:val="24"/>
              </w:rPr>
              <w:t>去除污水中比较大的漂浮物，然后污水流入调节池进行均质、均量，调节池中设置预曝气系统，防止固体沉淀及水发臭，同时对污水中有机物有一定的降解功能，再经泵提升进入</w:t>
            </w:r>
            <w:r>
              <w:rPr>
                <w:rFonts w:hint="default" w:ascii="Times New Roman" w:hAnsi="Times New Roman" w:eastAsia="宋体" w:cs="Times New Roman"/>
                <w:color w:val="auto"/>
                <w:sz w:val="24"/>
                <w:szCs w:val="24"/>
                <w:lang w:eastAsia="zh-CN"/>
              </w:rPr>
              <w:t>厌氧池、缺氧池</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缺氧</w:t>
            </w:r>
            <w:r>
              <w:rPr>
                <w:rFonts w:hint="default" w:ascii="Times New Roman" w:hAnsi="Times New Roman" w:eastAsia="宋体" w:cs="Times New Roman"/>
                <w:color w:val="auto"/>
                <w:sz w:val="24"/>
                <w:szCs w:val="24"/>
              </w:rPr>
              <w:t>池内挂有弹性填料，将大分子的有机物水解为小分子的有机物并对固体有机物进行降解，减少了污泥量，降低污水中悬浮固体的含量，并利用污水中的有机物作为碳源，使从后级好氧段回流的硝化液中的硝酸盐氮和亚硝酸盐氮在兼氧脱氮菌的作用下形成气态氮从污水中逸出，达到脱氮的目的，从而降解污水中有机污染物，提高污水的生化可降解性，并去除污水中的氨氮和悬浮物。</w:t>
            </w:r>
            <w:r>
              <w:rPr>
                <w:rFonts w:hint="default" w:ascii="Times New Roman" w:hAnsi="Times New Roman" w:eastAsia="宋体" w:cs="Times New Roman"/>
                <w:color w:val="auto"/>
                <w:sz w:val="24"/>
                <w:szCs w:val="24"/>
                <w:lang w:eastAsia="zh-CN"/>
              </w:rPr>
              <w:t>厌氧、缺氧池</w:t>
            </w:r>
            <w:r>
              <w:rPr>
                <w:rFonts w:hint="default" w:ascii="Times New Roman" w:hAnsi="Times New Roman" w:eastAsia="宋体" w:cs="Times New Roman"/>
                <w:color w:val="auto"/>
                <w:sz w:val="24"/>
                <w:szCs w:val="24"/>
              </w:rPr>
              <w:t>出水进入O级好氧</w:t>
            </w:r>
            <w:r>
              <w:rPr>
                <w:rFonts w:hint="default" w:ascii="Times New Roman" w:hAnsi="Times New Roman" w:eastAsia="宋体" w:cs="Times New Roman"/>
                <w:color w:val="auto"/>
                <w:sz w:val="24"/>
                <w:szCs w:val="24"/>
                <w:lang w:eastAsia="zh-CN"/>
              </w:rPr>
              <w:t>池</w:t>
            </w:r>
            <w:r>
              <w:rPr>
                <w:rFonts w:hint="default" w:ascii="Times New Roman" w:hAnsi="Times New Roman" w:eastAsia="宋体" w:cs="Times New Roman"/>
                <w:color w:val="auto"/>
                <w:sz w:val="24"/>
                <w:szCs w:val="24"/>
              </w:rPr>
              <w:t>、MBR池，</w:t>
            </w:r>
            <w:r>
              <w:rPr>
                <w:rFonts w:hint="default" w:ascii="Times New Roman" w:hAnsi="Times New Roman" w:eastAsia="宋体" w:cs="Times New Roman"/>
                <w:color w:val="auto"/>
                <w:sz w:val="24"/>
                <w:szCs w:val="24"/>
                <w:lang w:eastAsia="zh-CN"/>
              </w:rPr>
              <w:t>好氧</w:t>
            </w:r>
            <w:r>
              <w:rPr>
                <w:rFonts w:hint="default" w:ascii="Times New Roman" w:hAnsi="Times New Roman" w:eastAsia="宋体" w:cs="Times New Roman"/>
                <w:color w:val="auto"/>
                <w:sz w:val="24"/>
                <w:szCs w:val="24"/>
              </w:rPr>
              <w:t>池内好氧微生物在水体中有充足溶解氧的情况下，利用污水中的可溶性污染物进行新陈代谢，从而达到去除污水中可溶解性污染物的目的。好氧池末端设置MBR膜组件，实现泥水分离和高精度过滤。MBR膜组件可以去除水中胶体、颗粒、悬浮杂质，污水在经过MBR装置处理后，进入</w:t>
            </w:r>
            <w:r>
              <w:rPr>
                <w:rFonts w:hint="default" w:ascii="Times New Roman" w:hAnsi="Times New Roman" w:eastAsia="宋体" w:cs="Times New Roman"/>
                <w:color w:val="auto"/>
                <w:sz w:val="24"/>
                <w:szCs w:val="24"/>
                <w:lang w:eastAsia="zh-CN"/>
              </w:rPr>
              <w:t>中间水池</w:t>
            </w:r>
            <w:r>
              <w:rPr>
                <w:rFonts w:hint="default" w:ascii="Times New Roman" w:hAnsi="Times New Roman" w:eastAsia="宋体" w:cs="Times New Roman"/>
                <w:color w:val="auto"/>
                <w:sz w:val="24"/>
                <w:szCs w:val="24"/>
              </w:rPr>
              <w:t>通过次氯酸钠消毒后</w:t>
            </w:r>
            <w:r>
              <w:rPr>
                <w:rFonts w:hint="default" w:ascii="Times New Roman" w:hAnsi="Times New Roman" w:eastAsia="宋体" w:cs="Times New Roman"/>
                <w:color w:val="auto"/>
                <w:sz w:val="24"/>
                <w:szCs w:val="24"/>
                <w:lang w:eastAsia="zh-CN"/>
              </w:rPr>
              <w:t>溢流进入</w:t>
            </w:r>
            <w:r>
              <w:rPr>
                <w:rFonts w:hint="default" w:ascii="Times New Roman" w:hAnsi="Times New Roman" w:eastAsia="宋体" w:cs="Times New Roman"/>
                <w:color w:val="auto"/>
                <w:sz w:val="24"/>
                <w:szCs w:val="24"/>
              </w:rPr>
              <w:t>清水池，</w:t>
            </w:r>
            <w:r>
              <w:rPr>
                <w:rFonts w:hint="default" w:ascii="Times New Roman" w:hAnsi="Times New Roman" w:eastAsia="宋体" w:cs="Times New Roman"/>
                <w:color w:val="auto"/>
                <w:sz w:val="24"/>
                <w:szCs w:val="24"/>
                <w:lang w:eastAsia="zh-CN"/>
              </w:rPr>
              <w:t>通过明渠排放至滹沱河</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进入格栅间</w:t>
            </w:r>
            <w:r>
              <w:rPr>
                <w:rFonts w:hint="default" w:ascii="Times New Roman" w:hAnsi="Times New Roman" w:eastAsia="宋体" w:cs="Times New Roman"/>
                <w:color w:val="auto"/>
                <w:sz w:val="24"/>
                <w:szCs w:val="24"/>
              </w:rPr>
              <w:t>拦截的栅渣定期人工清运，装入小车倾倒至垃圾场。</w:t>
            </w:r>
          </w:p>
          <w:p>
            <w:pPr>
              <w:pStyle w:val="17"/>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污泥池的污泥通过叠螺压滤机脱水后，外运至生活垃圾填埋场。</w:t>
            </w:r>
          </w:p>
          <w:p>
            <w:pPr>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◆氨氮的去除原理</w:t>
            </w:r>
          </w:p>
          <w:p>
            <w:pPr>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水进入缺氧池中，同时还有一部分通过好氧处理的硝化液（混合液）回流到缺氧池，在缺氧池内进行反硝化。反硝化菌氧化有机物的同时，将混合液中的亚硝态氮和硝态氮还原为氮气而除去。在好氧池中，有机物被微生物生化降解，去除率较高。同时，生活污水中的氨氮被硝化菌氧化为亚硝酸盐和硝酸盐。通过硝化后另一部分混合液经MBR膜组件进行固液分离，上清液进一步处理后排放。</w:t>
            </w:r>
          </w:p>
          <w:p>
            <w:pPr>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◆消毒处理</w:t>
            </w:r>
          </w:p>
          <w:p>
            <w:pPr>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添加</w:t>
            </w:r>
            <w:r>
              <w:rPr>
                <w:rFonts w:hint="default" w:ascii="Times New Roman" w:hAnsi="Times New Roman" w:eastAsia="宋体" w:cs="Times New Roman"/>
                <w:color w:val="auto"/>
                <w:sz w:val="24"/>
                <w:szCs w:val="24"/>
              </w:rPr>
              <w:t>次氯酸钠消毒。</w:t>
            </w:r>
          </w:p>
          <w:p>
            <w:pPr>
              <w:pageBreakBefore w:val="0"/>
              <w:widowControl w:val="0"/>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5.1.3进出水水质设计</w:t>
            </w:r>
          </w:p>
          <w:p>
            <w:pPr>
              <w:pStyle w:val="5"/>
              <w:pageBreakBefore w:val="0"/>
              <w:widowControl w:val="0"/>
              <w:kinsoku/>
              <w:wordWrap/>
              <w:overflowPunct/>
              <w:topLinePunct w:val="0"/>
              <w:autoSpaceDE/>
              <w:autoSpaceDN/>
              <w:bidi w:val="0"/>
              <w:spacing w:before="0" w:after="0" w:line="480" w:lineRule="exact"/>
              <w:ind w:firstLine="480" w:firstLineChars="200"/>
              <w:jc w:val="left"/>
              <w:textAlignment w:val="auto"/>
              <w:rPr>
                <w:rFonts w:hint="default" w:ascii="Times New Roman" w:hAnsi="Times New Roman" w:eastAsia="宋体" w:cs="Times New Roman"/>
                <w:b w:val="0"/>
                <w:bCs w:val="0"/>
                <w:color w:val="auto"/>
                <w:sz w:val="24"/>
                <w:szCs w:val="24"/>
              </w:rPr>
            </w:pPr>
            <w:bookmarkStart w:id="0" w:name="_Toc7353096"/>
            <w:r>
              <w:rPr>
                <w:rFonts w:hint="default" w:ascii="Times New Roman" w:hAnsi="Times New Roman" w:eastAsia="宋体" w:cs="Times New Roman"/>
                <w:b w:val="0"/>
                <w:bCs w:val="0"/>
                <w:color w:val="auto"/>
                <w:sz w:val="24"/>
                <w:szCs w:val="24"/>
              </w:rPr>
              <w:t>（1）进水水质的确定</w:t>
            </w:r>
            <w:bookmarkEnd w:id="0"/>
          </w:p>
          <w:p>
            <w:pPr>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根据繁峙县的总体规划，繁峙县城市污水处理厂的进水主要为城市生活污水。根据</w:t>
            </w:r>
            <w:r>
              <w:rPr>
                <w:rFonts w:hint="default" w:ascii="Times New Roman" w:hAnsi="Times New Roman" w:eastAsia="宋体" w:cs="Times New Roman"/>
                <w:color w:val="auto"/>
                <w:sz w:val="24"/>
                <w:szCs w:val="24"/>
                <w:lang w:eastAsia="zh-CN"/>
              </w:rPr>
              <w:t>繁峙县污水处理厂</w:t>
            </w:r>
            <w:r>
              <w:rPr>
                <w:rFonts w:hint="default" w:ascii="Times New Roman" w:hAnsi="Times New Roman" w:eastAsia="宋体" w:cs="Times New Roman"/>
                <w:color w:val="auto"/>
                <w:sz w:val="24"/>
                <w:szCs w:val="24"/>
              </w:rPr>
              <w:t>化验数据，确定本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进水水质为：</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表5-1</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污水处理厂进水水质主要指标</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2139"/>
              <w:gridCol w:w="1044"/>
              <w:gridCol w:w="1044"/>
              <w:gridCol w:w="1044"/>
              <w:gridCol w:w="1044"/>
              <w:gridCol w:w="1044"/>
              <w:gridCol w:w="10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32" w:type="dxa"/>
                  <w:vMerge w:val="restart"/>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139" w:type="dxa"/>
                  <w:vMerge w:val="restart"/>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267" w:type="dxa"/>
                  <w:gridSpan w:val="6"/>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各项污染物指标平均浓度(mg/L)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32" w:type="dxa"/>
                  <w:vMerge w:val="continue"/>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2139" w:type="dxa"/>
                  <w:vMerge w:val="continue"/>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COD</w:t>
                  </w:r>
                  <w:r>
                    <w:rPr>
                      <w:rFonts w:hint="default" w:ascii="Times New Roman" w:hAnsi="Times New Roman" w:eastAsia="宋体" w:cs="Times New Roman"/>
                      <w:color w:val="auto"/>
                      <w:kern w:val="0"/>
                      <w:sz w:val="21"/>
                      <w:szCs w:val="21"/>
                      <w:vertAlign w:val="subscript"/>
                    </w:rPr>
                    <w:t>Cr</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SS</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TP</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047"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32"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39"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县城污水进水水质</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330</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169</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10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47"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r>
          </w:tbl>
          <w:p>
            <w:pPr>
              <w:pStyle w:val="5"/>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ascii="Times New Roman" w:hAnsi="Times New Roman" w:eastAsia="宋体" w:cs="Times New Roman"/>
                <w:b w:val="0"/>
                <w:bCs w:val="0"/>
                <w:color w:val="auto"/>
                <w:sz w:val="24"/>
                <w:szCs w:val="24"/>
              </w:rPr>
            </w:pPr>
            <w:bookmarkStart w:id="1" w:name="_Toc7353097"/>
            <w:bookmarkStart w:id="2" w:name="_Toc320721063"/>
            <w:bookmarkStart w:id="3" w:name="_Toc320541226"/>
            <w:bookmarkStart w:id="4" w:name="_Toc327177092"/>
            <w:r>
              <w:rPr>
                <w:rFonts w:hint="default" w:ascii="Times New Roman" w:hAnsi="Times New Roman" w:eastAsia="宋体" w:cs="Times New Roman"/>
                <w:b w:val="0"/>
                <w:bCs w:val="0"/>
                <w:color w:val="auto"/>
                <w:sz w:val="24"/>
                <w:szCs w:val="24"/>
              </w:rPr>
              <w:t>（2）设计出水水质的确定</w:t>
            </w:r>
            <w:bookmarkEnd w:id="1"/>
            <w:bookmarkEnd w:id="2"/>
            <w:bookmarkEnd w:id="3"/>
            <w:bookmarkEnd w:id="4"/>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本工程污水经处理后，排放至滹沱河。</w:t>
            </w:r>
            <w:r>
              <w:rPr>
                <w:rFonts w:hint="default" w:ascii="Times New Roman" w:hAnsi="Times New Roman" w:eastAsia="宋体" w:cs="Times New Roman"/>
                <w:color w:val="auto"/>
                <w:sz w:val="24"/>
                <w:lang w:eastAsia="zh-CN"/>
              </w:rPr>
              <w:t>出水水质中</w:t>
            </w:r>
            <w:r>
              <w:rPr>
                <w:rFonts w:hint="default" w:ascii="Times New Roman" w:hAnsi="Times New Roman" w:eastAsia="宋体" w:cs="Times New Roman"/>
                <w:color w:val="auto"/>
                <w:sz w:val="24"/>
              </w:rPr>
              <w:t>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-N、TP执行</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标准，其余指标执行</w:t>
            </w:r>
            <w:r>
              <w:rPr>
                <w:rFonts w:hint="default" w:ascii="Times New Roman" w:hAnsi="Times New Roman" w:eastAsia="宋体" w:cs="Times New Roman"/>
                <w:color w:val="auto"/>
                <w:sz w:val="24"/>
                <w:lang w:eastAsia="zh-CN"/>
              </w:rPr>
              <w:t>《城镇污水处理站污染物排放标准》</w:t>
            </w:r>
            <w:r>
              <w:rPr>
                <w:rFonts w:hint="default" w:ascii="Times New Roman" w:hAnsi="Times New Roman" w:eastAsia="宋体" w:cs="Times New Roman"/>
                <w:color w:val="auto"/>
                <w:sz w:val="24"/>
              </w:rPr>
              <w:t>（GB18918-2002）一级A标准。</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44"/>
                <w:sz w:val="24"/>
              </w:rPr>
            </w:pPr>
            <w:r>
              <w:rPr>
                <w:rFonts w:hint="default" w:ascii="Times New Roman" w:hAnsi="Times New Roman" w:eastAsia="宋体" w:cs="Times New Roman"/>
                <w:color w:val="auto"/>
                <w:sz w:val="24"/>
              </w:rPr>
              <w:t>设计出水水质指标见表5-2。污水处理厂进水和出水污染物排放特征见表5-3。</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表5-2</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设计出水水质主要指标</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805"/>
              <w:gridCol w:w="1146"/>
              <w:gridCol w:w="1090"/>
              <w:gridCol w:w="1090"/>
              <w:gridCol w:w="1090"/>
              <w:gridCol w:w="1090"/>
              <w:gridCol w:w="10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32"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0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601" w:type="dxa"/>
                  <w:gridSpan w:val="6"/>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各项污染物指标平均浓度(mg/L)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32"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80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146"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COD</w:t>
                  </w:r>
                  <w:r>
                    <w:rPr>
                      <w:rFonts w:hint="default" w:ascii="Times New Roman" w:hAnsi="Times New Roman" w:eastAsia="宋体" w:cs="Times New Roman"/>
                      <w:color w:val="auto"/>
                      <w:kern w:val="0"/>
                      <w:sz w:val="21"/>
                      <w:szCs w:val="21"/>
                      <w:vertAlign w:val="subscript"/>
                    </w:rPr>
                    <w:t>Cr</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SS</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TP</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09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32"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0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出水水质</w:t>
                  </w:r>
                </w:p>
              </w:tc>
              <w:tc>
                <w:tcPr>
                  <w:tcW w:w="1146"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40</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0.4</w:t>
                  </w:r>
                </w:p>
              </w:tc>
              <w:tc>
                <w:tcPr>
                  <w:tcW w:w="109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15</w:t>
                  </w:r>
                </w:p>
              </w:tc>
              <w:tc>
                <w:tcPr>
                  <w:tcW w:w="109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w:t>
                  </w: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表5-3  污水处理厂进水和出水污染物排放特征一览表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0"/>
              <w:gridCol w:w="1247"/>
              <w:gridCol w:w="1369"/>
              <w:gridCol w:w="1308"/>
              <w:gridCol w:w="1308"/>
              <w:gridCol w:w="1308"/>
              <w:gridCol w:w="13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0" w:type="dxa"/>
                  <w:tcBorders>
                    <w:tl2br w:val="nil"/>
                    <w:tr2bl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形式</w:t>
                  </w:r>
                </w:p>
              </w:tc>
              <w:tc>
                <w:tcPr>
                  <w:tcW w:w="1247"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COD</w:t>
                  </w:r>
                  <w:r>
                    <w:rPr>
                      <w:rFonts w:hint="default" w:ascii="Times New Roman" w:hAnsi="Times New Roman" w:eastAsia="宋体" w:cs="Times New Roman"/>
                      <w:color w:val="auto"/>
                      <w:kern w:val="0"/>
                      <w:sz w:val="21"/>
                      <w:szCs w:val="21"/>
                      <w:vertAlign w:val="subscript"/>
                    </w:rPr>
                    <w:t>Cr</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1369"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SS（</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TP（</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0" w:type="dxa"/>
                  <w:tcBorders>
                    <w:tl2br w:val="nil"/>
                    <w:tr2bl w:val="nil"/>
                  </w:tcBorders>
                  <w:noWrap/>
                  <w:vAlign w:val="center"/>
                </w:tcPr>
                <w:p>
                  <w:pPr>
                    <w:spacing w:line="240" w:lineRule="auto"/>
                    <w:ind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进水指标</w:t>
                  </w:r>
                </w:p>
              </w:tc>
              <w:tc>
                <w:tcPr>
                  <w:tcW w:w="1247"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330</w:t>
                  </w:r>
                </w:p>
              </w:tc>
              <w:tc>
                <w:tcPr>
                  <w:tcW w:w="1369"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169</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109</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3.4</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0"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出水指标</w:t>
                  </w:r>
                </w:p>
              </w:tc>
              <w:tc>
                <w:tcPr>
                  <w:tcW w:w="1247"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40</w:t>
                  </w:r>
                </w:p>
              </w:tc>
              <w:tc>
                <w:tcPr>
                  <w:tcW w:w="1369"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0.4</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15</w:t>
                  </w:r>
                </w:p>
              </w:tc>
              <w:tc>
                <w:tcPr>
                  <w:tcW w:w="130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0"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1247"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87.88</w:t>
                  </w:r>
                  <w:r>
                    <w:rPr>
                      <w:rFonts w:hint="default" w:ascii="Times New Roman" w:hAnsi="Times New Roman" w:eastAsia="宋体" w:cs="Times New Roman"/>
                      <w:color w:val="auto"/>
                      <w:sz w:val="21"/>
                      <w:szCs w:val="21"/>
                    </w:rPr>
                    <w:t>%</w:t>
                  </w:r>
                </w:p>
              </w:tc>
              <w:tc>
                <w:tcPr>
                  <w:tcW w:w="1369"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94.08</w:t>
                  </w:r>
                  <w:r>
                    <w:rPr>
                      <w:rFonts w:hint="default" w:ascii="Times New Roman" w:hAnsi="Times New Roman" w:eastAsia="宋体" w:cs="Times New Roman"/>
                      <w:color w:val="auto"/>
                      <w:sz w:val="21"/>
                      <w:szCs w:val="21"/>
                    </w:rPr>
                    <w:t>%</w:t>
                  </w:r>
                </w:p>
              </w:tc>
              <w:tc>
                <w:tcPr>
                  <w:tcW w:w="1308"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90.83</w:t>
                  </w:r>
                  <w:r>
                    <w:rPr>
                      <w:rFonts w:hint="default" w:ascii="Times New Roman" w:hAnsi="Times New Roman" w:eastAsia="宋体" w:cs="Times New Roman"/>
                      <w:color w:val="auto"/>
                      <w:sz w:val="21"/>
                      <w:szCs w:val="21"/>
                    </w:rPr>
                    <w:t>%</w:t>
                  </w:r>
                </w:p>
              </w:tc>
              <w:tc>
                <w:tcPr>
                  <w:tcW w:w="1308"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88.24</w:t>
                  </w:r>
                  <w:r>
                    <w:rPr>
                      <w:rFonts w:hint="default" w:ascii="Times New Roman" w:hAnsi="Times New Roman" w:eastAsia="宋体" w:cs="Times New Roman"/>
                      <w:color w:val="auto"/>
                      <w:sz w:val="21"/>
                      <w:szCs w:val="21"/>
                    </w:rPr>
                    <w:t>%</w:t>
                  </w:r>
                </w:p>
              </w:tc>
              <w:tc>
                <w:tcPr>
                  <w:tcW w:w="1308"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70.00</w:t>
                  </w:r>
                  <w:r>
                    <w:rPr>
                      <w:rFonts w:hint="default" w:ascii="Times New Roman" w:hAnsi="Times New Roman" w:eastAsia="宋体" w:cs="Times New Roman"/>
                      <w:color w:val="auto"/>
                      <w:sz w:val="21"/>
                      <w:szCs w:val="21"/>
                    </w:rPr>
                    <w:t>%</w:t>
                  </w:r>
                </w:p>
              </w:tc>
              <w:tc>
                <w:tcPr>
                  <w:tcW w:w="1308" w:type="dxa"/>
                  <w:tcBorders>
                    <w:tl2br w:val="nil"/>
                    <w:tr2bl w:val="nil"/>
                  </w:tcBorders>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94.74</w:t>
                  </w:r>
                  <w:r>
                    <w:rPr>
                      <w:rFonts w:hint="default" w:ascii="Times New Roman" w:hAnsi="Times New Roman" w:eastAsia="宋体" w:cs="Times New Roman"/>
                      <w:color w:val="auto"/>
                      <w:sz w:val="21"/>
                      <w:szCs w:val="21"/>
                    </w:rPr>
                    <w:t>%</w:t>
                  </w:r>
                </w:p>
              </w:tc>
            </w:tr>
          </w:tbl>
          <w:p>
            <w:pPr>
              <w:spacing w:line="480" w:lineRule="exact"/>
              <w:rPr>
                <w:rFonts w:hint="default" w:ascii="Times New Roman" w:hAnsi="Times New Roman" w:eastAsia="宋体" w:cs="Times New Roman"/>
                <w:b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9220" w:hRule="atLeast"/>
          <w:jc w:val="center"/>
        </w:trPr>
        <w:tc>
          <w:tcPr>
            <w:tcW w:w="9234" w:type="dxa"/>
            <w:tcBorders>
              <w:tl2br w:val="nil"/>
              <w:tr2bl w:val="nil"/>
            </w:tcBorders>
          </w:tcPr>
          <w:p>
            <w:pPr>
              <w:keepNext w:val="0"/>
              <w:keepLines w:val="0"/>
              <w:pageBreakBefore w:val="0"/>
              <w:widowControl w:val="0"/>
              <w:kinsoku/>
              <w:wordWrap/>
              <w:overflowPunct/>
              <w:topLinePunct w:val="0"/>
              <w:bidi w:val="0"/>
              <w:adjustRightInd/>
              <w:snapToGrid/>
              <w:spacing w:line="480" w:lineRule="exact"/>
              <w:jc w:val="left"/>
              <w:textAlignment w:val="baseline"/>
              <w:rPr>
                <w:rFonts w:hint="default" w:ascii="Times New Roman" w:hAnsi="Times New Roman" w:eastAsia="宋体" w:cs="Times New Roman"/>
                <w:b/>
                <w:bCs/>
                <w:color w:val="auto"/>
                <w:spacing w:val="4"/>
                <w:sz w:val="24"/>
              </w:rPr>
            </w:pPr>
            <w:r>
              <w:rPr>
                <w:rFonts w:hint="default" w:ascii="Times New Roman" w:hAnsi="Times New Roman" w:eastAsia="宋体" w:cs="Times New Roman"/>
                <w:b/>
                <w:bCs/>
                <w:color w:val="auto"/>
                <w:spacing w:val="4"/>
                <w:sz w:val="24"/>
              </w:rPr>
              <w:t>5.2主要污染工序</w:t>
            </w:r>
          </w:p>
          <w:p>
            <w:pPr>
              <w:keepNext w:val="0"/>
              <w:keepLines w:val="0"/>
              <w:pageBreakBefore w:val="0"/>
              <w:widowControl w:val="0"/>
              <w:kinsoku/>
              <w:wordWrap/>
              <w:overflowPunct/>
              <w:topLinePunct w:val="0"/>
              <w:bidi w:val="0"/>
              <w:adjustRightInd/>
              <w:snapToGrid/>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5.2.1、施工期主要污染工序</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（1）环境空气影响分析</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施工期大气污染物主要来源于施工扬尘，运输扬尘及汽车尾气。</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（2）施工期水环境影响分析</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施工期废水主要为施工人员生活污水、施工废水。</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（3）施工期声环境影响分析</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本项目施工期噪声主要有施工场地噪声和材料运输的交通噪声。</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（4）固体废物</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施工期产生的固体废物主要为建筑垃圾、施工人员生活垃圾、土石方。</w:t>
            </w:r>
          </w:p>
          <w:p>
            <w:pPr>
              <w:keepNext w:val="0"/>
              <w:keepLines w:val="0"/>
              <w:pageBreakBefore w:val="0"/>
              <w:widowControl w:val="0"/>
              <w:kinsoku/>
              <w:wordWrap/>
              <w:overflowPunct/>
              <w:topLinePunct w:val="0"/>
              <w:bidi w:val="0"/>
              <w:adjustRightInd/>
              <w:snapToGrid/>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5.2.2、运营期主要污染工序</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1、大气污染源</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本项目主要大气污染物为污水处理过程中散发出来的恶臭污染物，恶臭的主要成分为：H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S、NH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2、水污染源</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本项目主要的水污染因素为</w:t>
            </w:r>
            <w:r>
              <w:rPr>
                <w:rFonts w:hint="default" w:ascii="Times New Roman" w:hAnsi="Times New Roman" w:eastAsia="宋体" w:cs="Times New Roman"/>
                <w:color w:val="auto"/>
                <w:kern w:val="0"/>
                <w:sz w:val="24"/>
                <w:lang w:eastAsia="zh-CN"/>
              </w:rPr>
              <w:t>站内</w:t>
            </w:r>
            <w:r>
              <w:rPr>
                <w:rFonts w:hint="default" w:ascii="Times New Roman" w:hAnsi="Times New Roman" w:eastAsia="宋体" w:cs="Times New Roman"/>
                <w:color w:val="auto"/>
                <w:kern w:val="0"/>
                <w:sz w:val="24"/>
              </w:rPr>
              <w:t>生活污水与处理后的尾水。</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3、噪声</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噪声源主要为污水泵、风机等设备噪声。</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4、固废</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1）员工生活垃圾</w:t>
            </w:r>
            <w:r>
              <w:rPr>
                <w:rFonts w:hint="default" w:ascii="Times New Roman" w:hAnsi="Times New Roman" w:eastAsia="宋体" w:cs="Times New Roman"/>
                <w:snapToGrid w:val="0"/>
                <w:color w:val="auto"/>
                <w:kern w:val="0"/>
                <w:sz w:val="24"/>
              </w:rPr>
              <w:t>S</w:t>
            </w:r>
            <w:r>
              <w:rPr>
                <w:rFonts w:hint="default" w:ascii="Times New Roman" w:hAnsi="Times New Roman" w:eastAsia="宋体" w:cs="Times New Roman"/>
                <w:color w:val="auto"/>
                <w:sz w:val="24"/>
                <w:vertAlign w:val="subscript"/>
              </w:rPr>
              <w:t>1</w:t>
            </w:r>
          </w:p>
          <w:p>
            <w:pPr>
              <w:keepNext w:val="0"/>
              <w:keepLines w:val="0"/>
              <w:pageBreakBefore w:val="0"/>
              <w:widowControl w:val="0"/>
              <w:kinsoku/>
              <w:wordWrap/>
              <w:overflowPunct/>
              <w:topLinePunct w:val="0"/>
              <w:bidi w:val="0"/>
              <w:adjustRightInd/>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2）格栅渣</w:t>
            </w:r>
            <w:r>
              <w:rPr>
                <w:rFonts w:hint="default" w:ascii="Times New Roman" w:hAnsi="Times New Roman" w:eastAsia="宋体" w:cs="Times New Roman"/>
                <w:snapToGrid w:val="0"/>
                <w:color w:val="auto"/>
                <w:kern w:val="0"/>
                <w:sz w:val="24"/>
              </w:rPr>
              <w:t>S</w:t>
            </w:r>
            <w:r>
              <w:rPr>
                <w:rFonts w:hint="default" w:ascii="Times New Roman" w:hAnsi="Times New Roman" w:eastAsia="宋体" w:cs="Times New Roman"/>
                <w:color w:val="auto"/>
                <w:sz w:val="24"/>
                <w:vertAlign w:val="subscript"/>
              </w:rPr>
              <w:t>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rPr>
            </w:pPr>
            <w:r>
              <w:rPr>
                <w:rFonts w:hint="default" w:ascii="Times New Roman" w:hAnsi="Times New Roman" w:eastAsia="宋体" w:cs="Times New Roman"/>
                <w:color w:val="auto"/>
                <w:sz w:val="24"/>
              </w:rPr>
              <w:t>3）污泥</w:t>
            </w:r>
            <w:r>
              <w:rPr>
                <w:rFonts w:hint="default" w:ascii="Times New Roman" w:hAnsi="Times New Roman" w:eastAsia="宋体" w:cs="Times New Roman"/>
                <w:snapToGrid w:val="0"/>
                <w:color w:val="auto"/>
                <w:kern w:val="0"/>
                <w:sz w:val="24"/>
              </w:rPr>
              <w:t>S</w:t>
            </w:r>
            <w:r>
              <w:rPr>
                <w:rFonts w:hint="default" w:ascii="Times New Roman" w:hAnsi="Times New Roman" w:eastAsia="宋体" w:cs="Times New Roman"/>
                <w:color w:val="auto"/>
                <w:sz w:val="24"/>
                <w:vertAlign w:val="subscript"/>
              </w:rPr>
              <w:t>3</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vertAlign w:val="baseline"/>
                <w:lang w:val="en-US" w:eastAsia="zh-CN"/>
              </w:rPr>
              <w:t>4）废活性炭S</w:t>
            </w:r>
            <w:r>
              <w:rPr>
                <w:rFonts w:hint="default" w:ascii="Times New Roman" w:hAnsi="Times New Roman" w:eastAsia="宋体" w:cs="Times New Roman"/>
                <w:color w:val="auto"/>
                <w:sz w:val="24"/>
                <w:vertAlign w:val="subscript"/>
                <w:lang w:val="en-US" w:eastAsia="zh-CN"/>
              </w:rPr>
              <w:t>4</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r>
              <w:rPr>
                <w:rFonts w:hint="default" w:ascii="Times New Roman" w:hAnsi="Times New Roman" w:eastAsia="宋体" w:cs="Times New Roman"/>
                <w:color w:val="auto"/>
                <w:sz w:val="24"/>
                <w:vertAlign w:val="baseline"/>
                <w:lang w:val="en-US" w:eastAsia="zh-CN"/>
              </w:rPr>
              <w:t>5）废紫外线灯管S</w:t>
            </w:r>
            <w:r>
              <w:rPr>
                <w:rFonts w:hint="default" w:ascii="Times New Roman" w:hAnsi="Times New Roman" w:eastAsia="宋体" w:cs="Times New Roman"/>
                <w:color w:val="auto"/>
                <w:sz w:val="24"/>
                <w:vertAlign w:val="subscript"/>
                <w:lang w:val="en-US" w:eastAsia="zh-CN"/>
              </w:rPr>
              <w:t>5</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vertAlign w:val="subscript"/>
                <w:lang w:val="en-US" w:eastAsia="zh-CN"/>
              </w:rPr>
            </w:pPr>
          </w:p>
        </w:tc>
      </w:tr>
    </w:tbl>
    <w:p>
      <w:pPr>
        <w:spacing w:line="360" w:lineRule="auto"/>
        <w:rPr>
          <w:rFonts w:hint="default" w:ascii="Times New Roman" w:hAnsi="Times New Roman" w:eastAsia="宋体" w:cs="Times New Roman"/>
          <w:color w:val="auto"/>
          <w:sz w:val="28"/>
        </w:rPr>
        <w:sectPr>
          <w:pgSz w:w="11906" w:h="16838"/>
          <w:pgMar w:top="1361" w:right="1474" w:bottom="1361" w:left="1474" w:header="907" w:footer="1134" w:gutter="0"/>
          <w:pgBorders>
            <w:top w:val="none" w:sz="0" w:space="0"/>
            <w:left w:val="none" w:sz="0" w:space="0"/>
            <w:bottom w:val="none" w:sz="0" w:space="0"/>
            <w:right w:val="none" w:sz="0" w:space="0"/>
          </w:pgBorders>
          <w:cols w:space="720" w:num="1"/>
          <w:docGrid w:type="lines" w:linePitch="312" w:charSpace="0"/>
        </w:sectPr>
      </w:pPr>
    </w:p>
    <w:p>
      <w:pPr>
        <w:pStyle w:val="4"/>
        <w:keepNext w:val="0"/>
        <w:keepLines w:val="0"/>
        <w:widowControl/>
        <w:spacing w:before="0" w:after="0" w:line="480" w:lineRule="exact"/>
        <w:jc w:val="left"/>
        <w:textAlignment w:val="baseline"/>
        <w:rPr>
          <w:rFonts w:hint="default" w:ascii="Times New Roman" w:hAnsi="Times New Roman" w:eastAsia="宋体" w:cs="Times New Roman"/>
          <w:color w:val="auto"/>
          <w:kern w:val="0"/>
          <w:sz w:val="30"/>
          <w:szCs w:val="30"/>
          <w:u w:color="000000"/>
        </w:rPr>
      </w:pPr>
      <w:r>
        <w:rPr>
          <w:rFonts w:hint="default" w:ascii="Times New Roman" w:hAnsi="Times New Roman" w:eastAsia="宋体" w:cs="Times New Roman"/>
          <w:color w:val="auto"/>
          <w:kern w:val="0"/>
          <w:sz w:val="30"/>
          <w:szCs w:val="30"/>
          <w:u w:color="000000"/>
        </w:rPr>
        <w:t>项目主要污染物产生及预计排放情况</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2022"/>
        <w:gridCol w:w="1305"/>
        <w:gridCol w:w="1350"/>
        <w:gridCol w:w="1185"/>
        <w:gridCol w:w="1140"/>
        <w:gridCol w:w="12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tcBorders>
              <w:tl2br w:val="nil"/>
              <w:tr2bl w:val="nil"/>
            </w:tcBorders>
            <w:vAlign w:val="center"/>
          </w:tcPr>
          <w:p>
            <w:pPr>
              <w:ind w:firstLine="210" w:firstLineChars="100"/>
              <w:jc w:val="center"/>
              <w:rPr>
                <w:rFonts w:hint="default" w:ascii="Times New Roman" w:hAnsi="Times New Roman" w:eastAsia="宋体" w:cs="Times New Roman"/>
                <w:color w:val="auto"/>
                <w:spacing w:val="-20"/>
                <w:szCs w:val="21"/>
              </w:rPr>
            </w:pPr>
            <w:r>
              <w:rPr>
                <w:rFonts w:hint="default" w:ascii="Times New Roman" w:hAnsi="Times New Roman" w:eastAsia="宋体" w:cs="Times New Roman"/>
                <w:color w:val="auto"/>
                <w:szCs w:val="21"/>
              </w:rPr>
              <w:pict>
                <v:shape id="AutoShape 258" o:spid="_x0000_s2125" o:spt="32" type="#_x0000_t32" style="position:absolute;left:0pt;margin-left:-4.5pt;margin-top:1.35pt;height:29.85pt;width:54pt;z-index:251669504;mso-width-relative:page;mso-height-relative:page;" filled="f" coordsize="21600,21600" o:gfxdata="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4dTNK1QAAAAYBAAAPAAAAAAAAAAEAIAAAACIAAABkcnMvZG93bnJldi54bWxQ&#10;SwECFAAUAAAACACHTuJAU6d/gMEBAABrAwAADgAAAAAAAAABACAAAAAkAQAAZHJzL2Uyb0RvYy54&#10;bWxQSwUGAAAAAAYABgBZAQAAVwUAAAAA&#10;">
                  <v:path arrowok="t"/>
                  <v:fill on="f" focussize="0,0"/>
                  <v:stroke/>
                  <v:imagedata o:title=""/>
                  <o:lock v:ext="edit"/>
                </v:shape>
              </w:pict>
            </w:r>
            <w:r>
              <w:rPr>
                <w:rFonts w:hint="default" w:ascii="Times New Roman" w:hAnsi="Times New Roman" w:eastAsia="宋体" w:cs="Times New Roman"/>
                <w:color w:val="auto"/>
                <w:spacing w:val="-20"/>
                <w:szCs w:val="21"/>
              </w:rPr>
              <w:t>内容</w:t>
            </w:r>
          </w:p>
          <w:p>
            <w:pPr>
              <w:jc w:val="center"/>
              <w:rPr>
                <w:rFonts w:hint="default" w:ascii="Times New Roman" w:hAnsi="Times New Roman" w:eastAsia="宋体" w:cs="Times New Roman"/>
                <w:color w:val="auto"/>
                <w:spacing w:val="-20"/>
                <w:szCs w:val="21"/>
              </w:rPr>
            </w:pPr>
            <w:r>
              <w:rPr>
                <w:rFonts w:hint="default" w:ascii="Times New Roman" w:hAnsi="Times New Roman" w:eastAsia="宋体" w:cs="Times New Roman"/>
                <w:color w:val="auto"/>
                <w:spacing w:val="-20"/>
                <w:szCs w:val="21"/>
              </w:rPr>
              <w:t>类型</w:t>
            </w:r>
          </w:p>
        </w:tc>
        <w:tc>
          <w:tcPr>
            <w:tcW w:w="202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排放源（编号）</w:t>
            </w:r>
          </w:p>
        </w:tc>
        <w:tc>
          <w:tcPr>
            <w:tcW w:w="130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处产生</w:t>
            </w:r>
            <w:r>
              <w:rPr>
                <w:rFonts w:hint="default" w:ascii="Times New Roman" w:hAnsi="Times New Roman" w:eastAsia="宋体" w:cs="Times New Roman"/>
                <w:color w:val="auto"/>
                <w:szCs w:val="21"/>
                <w:lang w:eastAsia="zh-CN"/>
              </w:rPr>
              <w:t>浓度及产生</w:t>
            </w:r>
            <w:r>
              <w:rPr>
                <w:rFonts w:hint="default" w:ascii="Times New Roman" w:hAnsi="Times New Roman" w:eastAsia="宋体" w:cs="Times New Roman"/>
                <w:color w:val="auto"/>
                <w:szCs w:val="21"/>
              </w:rPr>
              <w:t>量</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w:t>
            </w:r>
            <w:r>
              <w:rPr>
                <w:rFonts w:hint="default" w:ascii="Times New Roman" w:hAnsi="Times New Roman" w:eastAsia="宋体" w:cs="Times New Roman"/>
                <w:color w:val="auto"/>
                <w:szCs w:val="21"/>
                <w:lang w:eastAsia="zh-CN"/>
              </w:rPr>
              <w:t>放浓度及排放</w:t>
            </w:r>
            <w:r>
              <w:rPr>
                <w:rFonts w:hint="default" w:ascii="Times New Roman" w:hAnsi="Times New Roman" w:eastAsia="宋体" w:cs="Times New Roman"/>
                <w:color w:val="auto"/>
                <w:szCs w:val="21"/>
              </w:rPr>
              <w:t>量</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022" w:type="dxa"/>
            <w:vMerge w:val="restart"/>
            <w:tcBorders>
              <w:tl2br w:val="nil"/>
              <w:tr2bl w:val="nil"/>
            </w:tcBorders>
            <w:vAlign w:val="center"/>
          </w:tcPr>
          <w:p>
            <w:pPr>
              <w:widowControl/>
              <w:adjustRightInd w:val="0"/>
              <w:snapToGrid w:val="0"/>
              <w:jc w:val="center"/>
              <w:textAlignment w:val="baseline"/>
              <w:rPr>
                <w:rFonts w:hint="default" w:ascii="Times New Roman" w:hAnsi="Times New Roman" w:eastAsia="宋体" w:cs="Times New Roman"/>
                <w:color w:val="auto"/>
                <w:kern w:val="0"/>
                <w:szCs w:val="21"/>
                <w:highlight w:val="yellow"/>
                <w:u w:color="000000"/>
              </w:rPr>
            </w:pPr>
            <w:r>
              <w:rPr>
                <w:rFonts w:hint="default" w:ascii="Times New Roman" w:hAnsi="Times New Roman" w:eastAsia="宋体" w:cs="Times New Roman"/>
                <w:color w:val="auto"/>
                <w:szCs w:val="21"/>
              </w:rPr>
              <w:t>生活污水应急处理站恶臭气体G</w:t>
            </w:r>
            <w:r>
              <w:rPr>
                <w:rFonts w:hint="default" w:ascii="Times New Roman" w:hAnsi="Times New Roman" w:eastAsia="宋体" w:cs="Times New Roman"/>
                <w:color w:val="auto"/>
                <w:szCs w:val="21"/>
                <w:vertAlign w:val="subscript"/>
              </w:rPr>
              <w:t>1</w:t>
            </w:r>
          </w:p>
        </w:tc>
        <w:tc>
          <w:tcPr>
            <w:tcW w:w="1305" w:type="dxa"/>
            <w:tcBorders>
              <w:tl2br w:val="nil"/>
              <w:tr2bl w:val="nil"/>
            </w:tcBorders>
            <w:vAlign w:val="center"/>
          </w:tcPr>
          <w:p>
            <w:pPr>
              <w:widowControl/>
              <w:autoSpaceDE w:val="0"/>
              <w:autoSpaceDN w:val="0"/>
              <w:adjustRightInd w:val="0"/>
              <w:snapToGrid w:val="0"/>
              <w:jc w:val="center"/>
              <w:textAlignment w:val="baseline"/>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color w:val="auto"/>
                <w:kern w:val="0"/>
                <w:szCs w:val="21"/>
                <w:u w:color="000000"/>
              </w:rPr>
              <w:t>NH</w:t>
            </w:r>
            <w:r>
              <w:rPr>
                <w:rFonts w:hint="default" w:ascii="Times New Roman" w:hAnsi="Times New Roman" w:eastAsia="宋体" w:cs="Times New Roman"/>
                <w:color w:val="auto"/>
                <w:kern w:val="0"/>
                <w:szCs w:val="21"/>
                <w:u w:color="000000"/>
                <w:vertAlign w:val="subscript"/>
              </w:rPr>
              <w:t>3</w:t>
            </w:r>
          </w:p>
        </w:tc>
        <w:tc>
          <w:tcPr>
            <w:tcW w:w="2535" w:type="dxa"/>
            <w:gridSpan w:val="2"/>
            <w:tcBorders>
              <w:tl2br w:val="nil"/>
              <w:tr2bl w:val="nil"/>
            </w:tcBorders>
            <w:vAlign w:val="center"/>
          </w:tcPr>
          <w:p>
            <w:pPr>
              <w:widowControl/>
              <w:autoSpaceDE w:val="0"/>
              <w:autoSpaceDN w:val="0"/>
              <w:adjustRightInd w:val="0"/>
              <w:snapToGrid w:val="0"/>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0.076mg/m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；0.02t/a</w:t>
            </w:r>
          </w:p>
        </w:tc>
        <w:tc>
          <w:tcPr>
            <w:tcW w:w="2424" w:type="dxa"/>
            <w:gridSpan w:val="2"/>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0.02mg/m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；0.006t/a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widowControl/>
              <w:adjustRightInd w:val="0"/>
              <w:snapToGrid w:val="0"/>
              <w:jc w:val="center"/>
              <w:textAlignment w:val="baseline"/>
              <w:rPr>
                <w:rFonts w:hint="default" w:ascii="Times New Roman" w:hAnsi="Times New Roman" w:eastAsia="宋体" w:cs="Times New Roman"/>
                <w:color w:val="auto"/>
                <w:szCs w:val="21"/>
              </w:rPr>
            </w:pPr>
          </w:p>
        </w:tc>
        <w:tc>
          <w:tcPr>
            <w:tcW w:w="1305" w:type="dxa"/>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u w:color="000000"/>
              </w:rPr>
              <w:t>H</w:t>
            </w:r>
            <w:r>
              <w:rPr>
                <w:rFonts w:hint="default" w:ascii="Times New Roman" w:hAnsi="Times New Roman" w:eastAsia="宋体" w:cs="Times New Roman"/>
                <w:color w:val="auto"/>
                <w:kern w:val="0"/>
                <w:szCs w:val="21"/>
                <w:u w:color="000000"/>
                <w:vertAlign w:val="subscript"/>
              </w:rPr>
              <w:t>2</w:t>
            </w:r>
            <w:r>
              <w:rPr>
                <w:rFonts w:hint="default" w:ascii="Times New Roman" w:hAnsi="Times New Roman" w:eastAsia="宋体" w:cs="Times New Roman"/>
                <w:color w:val="auto"/>
                <w:kern w:val="0"/>
                <w:szCs w:val="21"/>
                <w:u w:color="000000"/>
              </w:rPr>
              <w:t>S</w:t>
            </w:r>
          </w:p>
        </w:tc>
        <w:tc>
          <w:tcPr>
            <w:tcW w:w="2535" w:type="dxa"/>
            <w:gridSpan w:val="2"/>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0.002mg/m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；0.00056t/a</w:t>
            </w:r>
          </w:p>
        </w:tc>
        <w:tc>
          <w:tcPr>
            <w:tcW w:w="2424" w:type="dxa"/>
            <w:gridSpan w:val="2"/>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0.00064mg/m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；0.000168t/a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widowControl/>
              <w:adjustRightInd w:val="0"/>
              <w:snapToGrid w:val="0"/>
              <w:jc w:val="center"/>
              <w:textAlignment w:val="baseline"/>
              <w:rPr>
                <w:rFonts w:hint="default" w:ascii="Times New Roman" w:hAnsi="Times New Roman" w:eastAsia="宋体" w:cs="Times New Roman"/>
                <w:color w:val="auto"/>
                <w:szCs w:val="21"/>
              </w:rPr>
            </w:pPr>
          </w:p>
        </w:tc>
        <w:tc>
          <w:tcPr>
            <w:tcW w:w="1305" w:type="dxa"/>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color w:val="auto"/>
                <w:kern w:val="0"/>
                <w:szCs w:val="21"/>
                <w:u w:color="000000"/>
              </w:rPr>
              <w:t>臭气浓度</w:t>
            </w:r>
          </w:p>
        </w:tc>
        <w:tc>
          <w:tcPr>
            <w:tcW w:w="2535" w:type="dxa"/>
            <w:gridSpan w:val="2"/>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2000无量纲</w:t>
            </w:r>
          </w:p>
        </w:tc>
        <w:tc>
          <w:tcPr>
            <w:tcW w:w="2424" w:type="dxa"/>
            <w:gridSpan w:val="2"/>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022"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生活污水应急处理站尾水3000m³/d</w:t>
            </w:r>
          </w:p>
        </w:tc>
        <w:tc>
          <w:tcPr>
            <w:tcW w:w="130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CODcr</w:t>
            </w:r>
          </w:p>
        </w:tc>
        <w:tc>
          <w:tcPr>
            <w:tcW w:w="1350" w:type="dxa"/>
            <w:tcBorders>
              <w:tl2br w:val="nil"/>
              <w:tr2bl w:val="nil"/>
            </w:tcBorders>
            <w:vAlign w:val="center"/>
          </w:tcPr>
          <w:p>
            <w:pPr>
              <w:spacing w:line="240" w:lineRule="auto"/>
              <w:ind w:left="-105" w:leftChars="0" w:right="-105"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330</w:t>
            </w:r>
          </w:p>
        </w:tc>
        <w:tc>
          <w:tcPr>
            <w:tcW w:w="1185" w:type="dxa"/>
            <w:tcBorders>
              <w:tl2br w:val="nil"/>
              <w:tr2bl w:val="nil"/>
            </w:tcBorders>
            <w:vAlign w:val="center"/>
          </w:tcPr>
          <w:p>
            <w:pPr>
              <w:pStyle w:val="383"/>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361.35</w:t>
            </w:r>
          </w:p>
        </w:tc>
        <w:tc>
          <w:tcPr>
            <w:tcW w:w="1140" w:type="dxa"/>
            <w:tcBorders>
              <w:tl2br w:val="nil"/>
              <w:tr2bl w:val="nil"/>
            </w:tcBorders>
            <w:vAlign w:val="center"/>
          </w:tcPr>
          <w:p>
            <w:pPr>
              <w:pStyle w:val="383"/>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40</w:t>
            </w:r>
          </w:p>
        </w:tc>
        <w:tc>
          <w:tcPr>
            <w:tcW w:w="1284" w:type="dxa"/>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30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1350" w:type="dxa"/>
            <w:tcBorders>
              <w:tl2br w:val="nil"/>
              <w:tr2bl w:val="nil"/>
            </w:tcBorders>
            <w:vAlign w:val="center"/>
          </w:tcPr>
          <w:p>
            <w:pPr>
              <w:spacing w:line="240" w:lineRule="auto"/>
              <w:ind w:left="-105" w:leftChars="0" w:right="-105"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169</w:t>
            </w:r>
          </w:p>
        </w:tc>
        <w:tc>
          <w:tcPr>
            <w:tcW w:w="1185" w:type="dxa"/>
            <w:tcBorders>
              <w:tl2br w:val="nil"/>
              <w:tr2bl w:val="nil"/>
            </w:tcBorders>
            <w:vAlign w:val="center"/>
          </w:tcPr>
          <w:p>
            <w:pPr>
              <w:pStyle w:val="383"/>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185.055</w:t>
            </w:r>
          </w:p>
        </w:tc>
        <w:tc>
          <w:tcPr>
            <w:tcW w:w="1140" w:type="dxa"/>
            <w:tcBorders>
              <w:tl2br w:val="nil"/>
              <w:tr2bl w:val="nil"/>
            </w:tcBorders>
            <w:vAlign w:val="center"/>
          </w:tcPr>
          <w:p>
            <w:pPr>
              <w:pStyle w:val="383"/>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1284" w:type="dxa"/>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305" w:type="dxa"/>
            <w:tcBorders>
              <w:tl2br w:val="nil"/>
              <w:tr2bl w:val="nil"/>
            </w:tcBorders>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SS</w:t>
            </w:r>
          </w:p>
        </w:tc>
        <w:tc>
          <w:tcPr>
            <w:tcW w:w="1350" w:type="dxa"/>
            <w:tcBorders>
              <w:tl2br w:val="nil"/>
              <w:tr2bl w:val="nil"/>
            </w:tcBorders>
            <w:vAlign w:val="center"/>
          </w:tcPr>
          <w:p>
            <w:pPr>
              <w:spacing w:line="240" w:lineRule="auto"/>
              <w:ind w:left="-105" w:leftChars="0" w:right="-105"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109</w:t>
            </w:r>
          </w:p>
        </w:tc>
        <w:tc>
          <w:tcPr>
            <w:tcW w:w="1185" w:type="dxa"/>
            <w:tcBorders>
              <w:tl2br w:val="nil"/>
              <w:tr2bl w:val="nil"/>
            </w:tcBorders>
            <w:vAlign w:val="center"/>
          </w:tcPr>
          <w:p>
            <w:pPr>
              <w:pStyle w:val="383"/>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119.355</w:t>
            </w:r>
          </w:p>
        </w:tc>
        <w:tc>
          <w:tcPr>
            <w:tcW w:w="1140" w:type="dxa"/>
            <w:tcBorders>
              <w:tl2br w:val="nil"/>
              <w:tr2bl w:val="nil"/>
            </w:tcBorders>
            <w:vAlign w:val="center"/>
          </w:tcPr>
          <w:p>
            <w:pPr>
              <w:pStyle w:val="383"/>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1284" w:type="dxa"/>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305" w:type="dxa"/>
            <w:tcBorders>
              <w:tl2br w:val="nil"/>
              <w:tr2bl w:val="nil"/>
            </w:tcBorders>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TP</w:t>
            </w:r>
          </w:p>
        </w:tc>
        <w:tc>
          <w:tcPr>
            <w:tcW w:w="1350" w:type="dxa"/>
            <w:tcBorders>
              <w:tl2br w:val="nil"/>
              <w:tr2bl w:val="nil"/>
            </w:tcBorders>
            <w:vAlign w:val="center"/>
          </w:tcPr>
          <w:p>
            <w:pPr>
              <w:spacing w:line="240" w:lineRule="auto"/>
              <w:ind w:left="-105" w:leftChars="0" w:right="-105"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3.4</w:t>
            </w:r>
          </w:p>
        </w:tc>
        <w:tc>
          <w:tcPr>
            <w:tcW w:w="1185" w:type="dxa"/>
            <w:tcBorders>
              <w:tl2br w:val="nil"/>
              <w:tr2bl w:val="nil"/>
            </w:tcBorders>
            <w:vAlign w:val="center"/>
          </w:tcPr>
          <w:p>
            <w:pPr>
              <w:pStyle w:val="383"/>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3.723</w:t>
            </w:r>
          </w:p>
        </w:tc>
        <w:tc>
          <w:tcPr>
            <w:tcW w:w="1140" w:type="dxa"/>
            <w:tcBorders>
              <w:tl2br w:val="nil"/>
              <w:tr2bl w:val="nil"/>
            </w:tcBorders>
            <w:vAlign w:val="center"/>
          </w:tcPr>
          <w:p>
            <w:pPr>
              <w:pStyle w:val="383"/>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0.4</w:t>
            </w:r>
          </w:p>
        </w:tc>
        <w:tc>
          <w:tcPr>
            <w:tcW w:w="1284" w:type="dxa"/>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0.438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305" w:type="dxa"/>
            <w:tcBorders>
              <w:tl2br w:val="nil"/>
              <w:tr2bl w:val="nil"/>
            </w:tcBorders>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TN</w:t>
            </w:r>
          </w:p>
        </w:tc>
        <w:tc>
          <w:tcPr>
            <w:tcW w:w="1350" w:type="dxa"/>
            <w:tcBorders>
              <w:tl2br w:val="nil"/>
              <w:tr2bl w:val="nil"/>
            </w:tcBorders>
            <w:vAlign w:val="center"/>
          </w:tcPr>
          <w:p>
            <w:pPr>
              <w:spacing w:line="240" w:lineRule="auto"/>
              <w:ind w:left="-105" w:leftChars="0" w:right="-105"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50</w:t>
            </w:r>
          </w:p>
        </w:tc>
        <w:tc>
          <w:tcPr>
            <w:tcW w:w="1185" w:type="dxa"/>
            <w:tcBorders>
              <w:tl2br w:val="nil"/>
              <w:tr2bl w:val="nil"/>
            </w:tcBorders>
            <w:vAlign w:val="center"/>
          </w:tcPr>
          <w:p>
            <w:pPr>
              <w:pStyle w:val="383"/>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54.75</w:t>
            </w:r>
          </w:p>
        </w:tc>
        <w:tc>
          <w:tcPr>
            <w:tcW w:w="1140" w:type="dxa"/>
            <w:tcBorders>
              <w:tl2br w:val="nil"/>
              <w:tr2bl w:val="nil"/>
            </w:tcBorders>
            <w:vAlign w:val="center"/>
          </w:tcPr>
          <w:p>
            <w:pPr>
              <w:pStyle w:val="383"/>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w:t>
            </w:r>
          </w:p>
        </w:tc>
        <w:tc>
          <w:tcPr>
            <w:tcW w:w="1284" w:type="dxa"/>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16.425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305" w:type="dxa"/>
            <w:tcBorders>
              <w:tl2br w:val="nil"/>
              <w:tr2bl w:val="nil"/>
            </w:tcBorders>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1350" w:type="dxa"/>
            <w:tcBorders>
              <w:tl2br w:val="nil"/>
              <w:tr2bl w:val="nil"/>
            </w:tcBorders>
            <w:vAlign w:val="center"/>
          </w:tcPr>
          <w:p>
            <w:pPr>
              <w:spacing w:line="240" w:lineRule="auto"/>
              <w:ind w:left="-105" w:leftChars="0" w:right="-105" w:right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38</w:t>
            </w:r>
          </w:p>
        </w:tc>
        <w:tc>
          <w:tcPr>
            <w:tcW w:w="1185" w:type="dxa"/>
            <w:tcBorders>
              <w:tl2br w:val="nil"/>
              <w:tr2bl w:val="nil"/>
            </w:tcBorders>
            <w:vAlign w:val="center"/>
          </w:tcPr>
          <w:p>
            <w:pPr>
              <w:pStyle w:val="383"/>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41.61</w:t>
            </w:r>
          </w:p>
        </w:tc>
        <w:tc>
          <w:tcPr>
            <w:tcW w:w="1140" w:type="dxa"/>
            <w:tcBorders>
              <w:tl2br w:val="nil"/>
              <w:tr2bl w:val="nil"/>
            </w:tcBorders>
            <w:vAlign w:val="center"/>
          </w:tcPr>
          <w:p>
            <w:pPr>
              <w:pStyle w:val="383"/>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284" w:type="dxa"/>
            <w:tcBorders>
              <w:tl2br w:val="nil"/>
              <w:tr2bl w:val="nil"/>
            </w:tcBorders>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废物</w:t>
            </w:r>
          </w:p>
        </w:tc>
        <w:tc>
          <w:tcPr>
            <w:tcW w:w="2022"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r>
              <w:rPr>
                <w:rFonts w:hint="default" w:ascii="Times New Roman" w:hAnsi="Times New Roman" w:eastAsia="宋体" w:cs="Times New Roman"/>
                <w:iCs/>
                <w:color w:val="auto"/>
                <w:szCs w:val="21"/>
              </w:rPr>
              <w:t>职工生活</w:t>
            </w:r>
          </w:p>
        </w:tc>
        <w:tc>
          <w:tcPr>
            <w:tcW w:w="1305"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3.65</w:t>
            </w:r>
            <w:r>
              <w:rPr>
                <w:rFonts w:hint="default" w:ascii="Times New Roman" w:hAnsi="Times New Roman" w:eastAsia="宋体" w:cs="Times New Roman"/>
                <w:color w:val="auto"/>
                <w:szCs w:val="21"/>
                <w:lang w:val="en-US" w:eastAsia="zh-CN"/>
              </w:rPr>
              <w:t>t/a</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格栅池</w:t>
            </w:r>
          </w:p>
        </w:tc>
        <w:tc>
          <w:tcPr>
            <w:tcW w:w="1305"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snapToGrid w:val="0"/>
                <w:color w:val="auto"/>
                <w:kern w:val="0"/>
                <w:szCs w:val="21"/>
              </w:rPr>
              <w:t>格栅渣</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21.9</w:t>
            </w:r>
            <w:r>
              <w:rPr>
                <w:rFonts w:hint="default" w:ascii="Times New Roman" w:hAnsi="Times New Roman" w:eastAsia="宋体" w:cs="Times New Roman"/>
                <w:color w:val="auto"/>
                <w:szCs w:val="21"/>
                <w:lang w:val="en-US" w:eastAsia="zh-CN"/>
              </w:rPr>
              <w:t>t/a</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污泥池</w:t>
            </w:r>
          </w:p>
        </w:tc>
        <w:tc>
          <w:tcPr>
            <w:tcW w:w="1305"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iCs/>
                <w:color w:val="auto"/>
                <w:szCs w:val="21"/>
              </w:rPr>
              <w:t>污泥</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21.681t/a</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restart"/>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sz w:val="21"/>
                <w:szCs w:val="21"/>
                <w:lang w:eastAsia="zh-CN"/>
              </w:rPr>
              <w:t>光氧活性炭一体机</w:t>
            </w:r>
          </w:p>
        </w:tc>
        <w:tc>
          <w:tcPr>
            <w:tcW w:w="1305"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0.5t/a</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2022" w:type="dxa"/>
            <w:vMerge w:val="continue"/>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val="en-US" w:eastAsia="zh-CN"/>
              </w:rPr>
            </w:pPr>
          </w:p>
        </w:tc>
        <w:tc>
          <w:tcPr>
            <w:tcW w:w="1305"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r>
              <w:rPr>
                <w:rFonts w:hint="default" w:ascii="Times New Roman" w:hAnsi="Times New Roman" w:eastAsia="宋体" w:cs="Times New Roman"/>
                <w:color w:val="auto"/>
                <w:sz w:val="21"/>
                <w:szCs w:val="21"/>
                <w:lang w:val="en-US" w:eastAsia="zh-CN"/>
              </w:rPr>
              <w:t>废紫外线灯管</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60根</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3327"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生产设备</w:t>
            </w:r>
          </w:p>
        </w:tc>
        <w:tc>
          <w:tcPr>
            <w:tcW w:w="253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70-85dB(A)</w:t>
            </w:r>
          </w:p>
        </w:tc>
        <w:tc>
          <w:tcPr>
            <w:tcW w:w="2424"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8"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其它</w:t>
            </w:r>
          </w:p>
        </w:tc>
        <w:tc>
          <w:tcPr>
            <w:tcW w:w="8286"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5" w:hRule="atLeast"/>
          <w:jc w:val="center"/>
        </w:trPr>
        <w:tc>
          <w:tcPr>
            <w:tcW w:w="9354"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default" w:ascii="Times New Roman" w:hAnsi="Times New Roman" w:eastAsia="宋体" w:cs="Times New Roman"/>
                <w:b/>
                <w:color w:val="auto"/>
                <w:kern w:val="0"/>
                <w:sz w:val="28"/>
                <w:szCs w:val="28"/>
                <w:lang w:val="fr-FR"/>
              </w:rPr>
            </w:pPr>
            <w:r>
              <w:rPr>
                <w:rFonts w:hint="default" w:ascii="Times New Roman" w:hAnsi="Times New Roman" w:eastAsia="宋体" w:cs="Times New Roman"/>
                <w:b/>
                <w:color w:val="auto"/>
                <w:kern w:val="0"/>
                <w:sz w:val="28"/>
                <w:szCs w:val="28"/>
              </w:rPr>
              <w:t>主要生态影响（不够时可附页）</w:t>
            </w:r>
            <w:r>
              <w:rPr>
                <w:rFonts w:hint="default" w:ascii="Times New Roman" w:hAnsi="Times New Roman" w:eastAsia="宋体" w:cs="Times New Roman"/>
                <w:b/>
                <w:color w:val="auto"/>
                <w:kern w:val="0"/>
                <w:sz w:val="28"/>
                <w:szCs w:val="28"/>
                <w:lang w:val="fr-FR"/>
              </w:rPr>
              <w:t>：</w:t>
            </w:r>
          </w:p>
          <w:p>
            <w:pPr>
              <w:keepNext w:val="0"/>
              <w:keepLines w:val="0"/>
              <w:pageBreakBefore w:val="0"/>
              <w:widowControl w:val="0"/>
              <w:tabs>
                <w:tab w:val="left" w:pos="1725"/>
              </w:tabs>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生活污水应急处理站建设项目对生态环境影响包括施工期和运营期两个阶段，施工期对生态环境</w:t>
            </w:r>
            <w:r>
              <w:rPr>
                <w:rFonts w:hint="default" w:ascii="Times New Roman" w:hAnsi="Times New Roman" w:eastAsia="宋体" w:cs="Times New Roman"/>
                <w:color w:val="auto"/>
                <w:sz w:val="24"/>
                <w:lang w:eastAsia="zh-CN"/>
              </w:rPr>
              <w:t>影响</w:t>
            </w:r>
            <w:r>
              <w:rPr>
                <w:rFonts w:hint="default" w:ascii="Times New Roman" w:hAnsi="Times New Roman" w:eastAsia="宋体" w:cs="Times New Roman"/>
                <w:color w:val="auto"/>
                <w:sz w:val="24"/>
              </w:rPr>
              <w:t>较大，而运营期影响相对较小。</w:t>
            </w:r>
          </w:p>
          <w:p>
            <w:pPr>
              <w:keepNext w:val="0"/>
              <w:keepLines w:val="0"/>
              <w:pageBreakBefore w:val="0"/>
              <w:widowControl w:val="0"/>
              <w:tabs>
                <w:tab w:val="left" w:pos="1725"/>
              </w:tabs>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szCs w:val="28"/>
              </w:rPr>
              <w:t>本次</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z w:val="24"/>
                <w:szCs w:val="28"/>
              </w:rPr>
              <w:t>的施工活动主要限于占地范围之内，对周边的生态环境不会造成大的影响。尽管如此，施工区尚需进行施工场地的清理和填挖土方，这将会造成小范围的扬尘污染。整个施工过程中要进行物料的运输，如果不注意加强规范化作业管理，也将会出现物料抛洒和废弃物处理不当所带来的生态环境影响。</w:t>
            </w:r>
          </w:p>
          <w:p>
            <w:pPr>
              <w:keepNext w:val="0"/>
              <w:keepLines w:val="0"/>
              <w:pageBreakBefore w:val="0"/>
              <w:widowControl w:val="0"/>
              <w:tabs>
                <w:tab w:val="left" w:pos="1725"/>
              </w:tabs>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8"/>
              </w:rPr>
              <w:t>（2）</w:t>
            </w:r>
            <w:r>
              <w:rPr>
                <w:rFonts w:hint="default" w:ascii="Times New Roman" w:hAnsi="Times New Roman" w:eastAsia="宋体" w:cs="Times New Roman"/>
                <w:color w:val="auto"/>
                <w:sz w:val="24"/>
              </w:rPr>
              <w:t>运营期影响</w:t>
            </w:r>
          </w:p>
          <w:p>
            <w:pPr>
              <w:keepNext w:val="0"/>
              <w:keepLines w:val="0"/>
              <w:pageBreakBefore w:val="0"/>
              <w:widowControl w:val="0"/>
              <w:tabs>
                <w:tab w:val="left" w:pos="1725"/>
              </w:tabs>
              <w:kinsoku/>
              <w:wordWrap/>
              <w:overflowPunct/>
              <w:topLinePunct w:val="0"/>
              <w:autoSpaceDE/>
              <w:autoSpaceDN/>
              <w:bidi w:val="0"/>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建设工程运营过程中的恶臭气体会对周围生态环境产生影响；工程运营过程中产生的污泥如不合理处置会对环境造成污染。该项目为生活污水应急处理站项目，水质的改善对保护滹沱河的水质，将起到积极作用。</w:t>
            </w:r>
          </w:p>
          <w:p>
            <w:pPr>
              <w:spacing w:line="276" w:lineRule="auto"/>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pStyle w:val="95"/>
              <w:rPr>
                <w:rFonts w:hint="default" w:ascii="Times New Roman" w:hAnsi="Times New Roman" w:eastAsia="宋体" w:cs="Times New Roman"/>
                <w:color w:val="auto"/>
                <w:szCs w:val="21"/>
              </w:rPr>
            </w:pPr>
          </w:p>
          <w:p>
            <w:pPr>
              <w:spacing w:line="276" w:lineRule="auto"/>
              <w:rPr>
                <w:rFonts w:hint="default" w:ascii="Times New Roman" w:hAnsi="Times New Roman" w:eastAsia="宋体" w:cs="Times New Roman"/>
                <w:color w:val="auto"/>
                <w:szCs w:val="21"/>
              </w:rPr>
            </w:pPr>
          </w:p>
        </w:tc>
      </w:tr>
    </w:tbl>
    <w:p>
      <w:pPr>
        <w:pStyle w:val="5"/>
        <w:spacing w:before="0" w:after="0" w:line="600" w:lineRule="exact"/>
        <w:rPr>
          <w:rFonts w:hint="default" w:ascii="Times New Roman" w:hAnsi="Times New Roman" w:eastAsia="宋体" w:cs="Times New Roman"/>
          <w:b w:val="0"/>
          <w:color w:val="auto"/>
          <w:kern w:val="0"/>
        </w:rPr>
        <w:sectPr>
          <w:footerReference r:id="rId11" w:type="first"/>
          <w:pgSz w:w="11906" w:h="16838"/>
          <w:pgMar w:top="1361" w:right="1474" w:bottom="1361" w:left="1474" w:header="907" w:footer="1134" w:gutter="0"/>
          <w:pgBorders>
            <w:top w:val="none" w:sz="0" w:space="0"/>
            <w:left w:val="none" w:sz="0" w:space="0"/>
            <w:bottom w:val="none" w:sz="0" w:space="0"/>
            <w:right w:val="none" w:sz="0" w:space="0"/>
          </w:pgBorders>
          <w:cols w:space="720" w:num="1"/>
          <w:docGrid w:type="lines" w:linePitch="312" w:charSpace="0"/>
        </w:sectPr>
      </w:pPr>
    </w:p>
    <w:p>
      <w:pPr>
        <w:pStyle w:val="4"/>
        <w:keepNext w:val="0"/>
        <w:keepLines w:val="0"/>
        <w:widowControl/>
        <w:spacing w:before="0" w:after="0" w:line="240" w:lineRule="auto"/>
        <w:jc w:val="left"/>
        <w:textAlignment w:val="baseline"/>
        <w:rPr>
          <w:rFonts w:hint="default" w:ascii="Times New Roman" w:hAnsi="Times New Roman" w:eastAsia="宋体" w:cs="Times New Roman"/>
          <w:color w:val="auto"/>
          <w:kern w:val="0"/>
          <w:sz w:val="30"/>
          <w:szCs w:val="30"/>
          <w:u w:color="000000"/>
        </w:rPr>
      </w:pPr>
      <w:r>
        <w:rPr>
          <w:rFonts w:hint="default" w:ascii="Times New Roman" w:hAnsi="Times New Roman" w:eastAsia="宋体" w:cs="Times New Roman"/>
          <w:color w:val="auto"/>
          <w:kern w:val="0"/>
          <w:sz w:val="30"/>
          <w:szCs w:val="30"/>
          <w:u w:color="000000"/>
        </w:rPr>
        <w:t>环境影响分析</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13377" w:hRule="atLeast"/>
          <w:jc w:val="center"/>
        </w:trPr>
        <w:tc>
          <w:tcPr>
            <w:tcW w:w="9530"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7.1</w:t>
            </w:r>
            <w:r>
              <w:rPr>
                <w:rFonts w:hint="default" w:ascii="Times New Roman" w:hAnsi="Times New Roman" w:eastAsia="宋体" w:cs="Times New Roman"/>
                <w:b/>
                <w:bCs/>
                <w:color w:val="auto"/>
                <w:kern w:val="0"/>
                <w:sz w:val="24"/>
              </w:rPr>
              <w:t>施工期环境影响简要分析</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sz w:val="24"/>
              </w:rPr>
              <w:t>根据现场踏勘，项目</w:t>
            </w:r>
            <w:r>
              <w:rPr>
                <w:rFonts w:hint="default" w:ascii="Times New Roman" w:hAnsi="Times New Roman" w:eastAsia="宋体" w:cs="Times New Roman"/>
                <w:bCs/>
                <w:color w:val="auto"/>
                <w:sz w:val="24"/>
                <w:lang w:eastAsia="zh-CN"/>
              </w:rPr>
              <w:t>目前已开工</w:t>
            </w:r>
            <w:r>
              <w:rPr>
                <w:rFonts w:hint="default" w:ascii="Times New Roman" w:hAnsi="Times New Roman" w:eastAsia="宋体" w:cs="Times New Roman"/>
                <w:bCs/>
                <w:color w:val="auto"/>
                <w:sz w:val="24"/>
              </w:rPr>
              <w:t>建设。</w:t>
            </w:r>
            <w:r>
              <w:rPr>
                <w:rFonts w:hint="default" w:ascii="Times New Roman" w:hAnsi="Times New Roman" w:eastAsia="宋体" w:cs="Times New Roman"/>
                <w:color w:val="auto"/>
                <w:sz w:val="24"/>
              </w:rPr>
              <w:t>在施工期间不可避免地会对环境带来一定的影响，其主要影响为施工和运输扬尘、施工废水、噪声及渣土等，项目建设单位有责任督促施工单位遵守有关的法律、法规和规定，采取文明施工，尽量把施工影响减少到最低、最轻。</w:t>
            </w:r>
          </w:p>
          <w:p>
            <w:pPr>
              <w:keepNext w:val="0"/>
              <w:keepLines w:val="0"/>
              <w:pageBreakBefore w:val="0"/>
              <w:widowControl w:val="0"/>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7.1.1施工期大气环境影响分析</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7.1.1.1施工期废气</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施工期废气污染物主要为施工扬尘、运输车辆及作业机械尾气。其中施工扬尘主要为开挖土石方、建筑材料运输及修建场地扬尘等。</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（1）施工扬尘</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扬尘按起尘原因可分为风力扬尘和动力扬尘。其中风力扬尘主要是由于天气干燥及大风造成的；而动力扬尘，主要是在建材的装卸过程中，由于外力而产生的尘粒再悬浮而造成的，其中施工及装卸车辆造成的扬尘最为严重。根据有关资料介绍，车辆行驶产生的扬尘占总扬尘的60%以上。车辆行驶产生的扬尘，在完全干燥情况下，可按下列经验公式计算：</w:t>
            </w:r>
          </w:p>
          <w:p>
            <w:pPr>
              <w:keepNext w:val="0"/>
              <w:keepLines w:val="0"/>
              <w:pageBreakBefore w:val="0"/>
              <w:widowControl w:val="0"/>
              <w:kinsoku/>
              <w:wordWrap/>
              <w:overflowPunct/>
              <w:topLinePunct w:val="0"/>
              <w:autoSpaceDE/>
              <w:autoSpaceDN/>
              <w:bidi w:val="0"/>
              <w:spacing w:line="480" w:lineRule="exact"/>
              <w:ind w:firstLine="2040" w:firstLineChars="85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p</w:t>
            </w:r>
            <w:r>
              <w:rPr>
                <w:rFonts w:hint="default" w:ascii="Times New Roman" w:hAnsi="Times New Roman" w:eastAsia="宋体" w:cs="Times New Roman"/>
                <w:color w:val="auto"/>
                <w:sz w:val="24"/>
              </w:rPr>
              <w:t>=0.123(V/5)·(M/6.8)</w:t>
            </w:r>
            <w:r>
              <w:rPr>
                <w:rFonts w:hint="default" w:ascii="Times New Roman" w:hAnsi="Times New Roman" w:eastAsia="宋体" w:cs="Times New Roman"/>
                <w:color w:val="auto"/>
                <w:sz w:val="24"/>
                <w:vertAlign w:val="superscript"/>
              </w:rPr>
              <w:t>0.85</w:t>
            </w:r>
            <w:r>
              <w:rPr>
                <w:rFonts w:hint="default" w:ascii="Times New Roman" w:hAnsi="Times New Roman" w:eastAsia="宋体" w:cs="Times New Roman"/>
                <w:color w:val="auto"/>
                <w:sz w:val="24"/>
              </w:rPr>
              <w:t>·(P/0.5)</w:t>
            </w:r>
            <w:r>
              <w:rPr>
                <w:rFonts w:hint="default" w:ascii="Times New Roman" w:hAnsi="Times New Roman" w:eastAsia="宋体" w:cs="Times New Roman"/>
                <w:color w:val="auto"/>
                <w:sz w:val="24"/>
                <w:vertAlign w:val="superscript"/>
              </w:rPr>
              <w:t>0.72</w:t>
            </w:r>
          </w:p>
          <w:p>
            <w:pPr>
              <w:keepNext w:val="0"/>
              <w:keepLines w:val="0"/>
              <w:pageBreakBefore w:val="0"/>
              <w:widowControl w:val="0"/>
              <w:kinsoku/>
              <w:wordWrap/>
              <w:overflowPunct/>
              <w:topLinePunct w:val="0"/>
              <w:autoSpaceDE/>
              <w:autoSpaceDN/>
              <w:bidi w:val="0"/>
              <w:spacing w:line="480" w:lineRule="exact"/>
              <w:ind w:firstLine="2040" w:firstLineChars="850"/>
              <w:jc w:val="left"/>
              <w:textAlignment w:val="auto"/>
              <w:rPr>
                <w:rFonts w:hint="default" w:ascii="Times New Roman" w:hAnsi="Times New Roman" w:eastAsia="宋体" w:cs="Times New Roman"/>
                <w:color w:val="auto"/>
                <w:sz w:val="24"/>
                <w:lang w:val="es-VE"/>
              </w:rPr>
            </w:pPr>
            <w:r>
              <w:rPr>
                <w:rFonts w:hint="default" w:ascii="Times New Roman" w:hAnsi="Times New Roman" w:eastAsia="宋体" w:cs="Times New Roman"/>
                <w:color w:val="auto"/>
                <w:sz w:val="24"/>
                <w:lang w:val="es-VE"/>
              </w:rPr>
              <w:t>Q</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vertAlign w:val="subscript"/>
                <w:lang w:val="es-VE"/>
              </w:rPr>
              <w:t>p</w:t>
            </w:r>
            <w:r>
              <w:rPr>
                <w:rFonts w:hint="default" w:ascii="Times New Roman" w:hAnsi="Times New Roman" w:eastAsia="宋体" w:cs="Times New Roman"/>
                <w:color w:val="auto"/>
                <w:sz w:val="24"/>
                <w:lang w:val="es-VE"/>
              </w:rPr>
              <w:t>=Q</w:t>
            </w:r>
            <w:r>
              <w:rPr>
                <w:rFonts w:hint="default" w:ascii="Times New Roman" w:hAnsi="Times New Roman" w:eastAsia="宋体" w:cs="Times New Roman"/>
                <w:color w:val="auto"/>
                <w:sz w:val="24"/>
                <w:vertAlign w:val="subscript"/>
                <w:lang w:val="es-VE"/>
              </w:rPr>
              <w:t>p</w:t>
            </w:r>
            <w:r>
              <w:rPr>
                <w:rFonts w:hint="default" w:ascii="Times New Roman" w:hAnsi="Times New Roman" w:eastAsia="宋体" w:cs="Times New Roman"/>
                <w:color w:val="auto"/>
                <w:sz w:val="24"/>
                <w:lang w:val="es-VE"/>
              </w:rPr>
              <w:t>·L·Q/M</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式中：Q——汽车行驶的扬尘，kg/km·辆； </w:t>
            </w:r>
          </w:p>
          <w:p>
            <w:pPr>
              <w:keepNext w:val="0"/>
              <w:keepLines w:val="0"/>
              <w:pageBreakBefore w:val="0"/>
              <w:widowControl w:val="0"/>
              <w:kinsoku/>
              <w:wordWrap/>
              <w:overflowPunct/>
              <w:topLinePunct w:val="0"/>
              <w:autoSpaceDE/>
              <w:autoSpaceDN/>
              <w:bidi w:val="0"/>
              <w:spacing w:line="480" w:lineRule="exact"/>
              <w:ind w:firstLine="1200" w:firstLineChars="5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rPr>
              <w:softHyphen/>
            </w:r>
            <w:r>
              <w:rPr>
                <w:rFonts w:hint="default" w:ascii="Times New Roman" w:hAnsi="Times New Roman" w:eastAsia="宋体" w:cs="Times New Roman"/>
                <w:color w:val="auto"/>
                <w:sz w:val="24"/>
              </w:rPr>
              <w:t>——汽车速度，km/h；</w:t>
            </w:r>
          </w:p>
          <w:p>
            <w:pPr>
              <w:keepNext w:val="0"/>
              <w:keepLines w:val="0"/>
              <w:pageBreakBefore w:val="0"/>
              <w:widowControl w:val="0"/>
              <w:kinsoku/>
              <w:wordWrap/>
              <w:overflowPunct/>
              <w:topLinePunct w:val="0"/>
              <w:autoSpaceDE/>
              <w:autoSpaceDN/>
              <w:bidi w:val="0"/>
              <w:spacing w:line="480" w:lineRule="exact"/>
              <w:ind w:firstLine="1200" w:firstLineChars="5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W——汽车载重量，吨； </w:t>
            </w:r>
          </w:p>
          <w:p>
            <w:pPr>
              <w:keepNext w:val="0"/>
              <w:keepLines w:val="0"/>
              <w:pageBreakBefore w:val="0"/>
              <w:widowControl w:val="0"/>
              <w:kinsoku/>
              <w:wordWrap/>
              <w:overflowPunct/>
              <w:topLinePunct w:val="0"/>
              <w:autoSpaceDE/>
              <w:autoSpaceDN/>
              <w:bidi w:val="0"/>
              <w:spacing w:line="480" w:lineRule="exact"/>
              <w:ind w:firstLine="1320" w:firstLineChars="55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P——道路表面粉尘量，kg/m</w:t>
            </w:r>
            <w:r>
              <w:rPr>
                <w:rFonts w:hint="default" w:ascii="Times New Roman" w:hAnsi="Times New Roman" w:eastAsia="宋体" w:cs="Times New Roman"/>
                <w:color w:val="auto"/>
                <w:sz w:val="24"/>
                <w:vertAlign w:val="superscript"/>
              </w:rPr>
              <w:t>2</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表7-1为一辆10吨卡车，通过一段长度为1km的路面时，不同路面清洁程度，不同行驶速度情况下的扬尘量。</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表7-1  在不同车速和地面清洁程度的汽车扬尘  单位：kg/辆·公里</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6"/>
              <w:gridCol w:w="1212"/>
              <w:gridCol w:w="1097"/>
              <w:gridCol w:w="1096"/>
              <w:gridCol w:w="1097"/>
              <w:gridCol w:w="1097"/>
              <w:gridCol w:w="1096"/>
              <w:gridCol w:w="10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车速</w:t>
                  </w:r>
                </w:p>
              </w:tc>
              <w:tc>
                <w:tcPr>
                  <w:tcW w:w="12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5（km/h）</w:t>
                  </w:r>
                </w:p>
              </w:tc>
              <w:tc>
                <w:tcPr>
                  <w:tcW w:w="12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0.0303579</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0.051056</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0.085865</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0.116382</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0.144408</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0.170715</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10（km/h）</w:t>
                  </w:r>
                </w:p>
              </w:tc>
              <w:tc>
                <w:tcPr>
                  <w:tcW w:w="12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0.060159</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0.102112</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0.171701</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0.232764</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0.28815</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0.341431</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15（km/h）</w:t>
                  </w:r>
                </w:p>
              </w:tc>
              <w:tc>
                <w:tcPr>
                  <w:tcW w:w="12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0.0910738</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0.153167</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0.257596</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0.349146</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0.433223</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0.512146</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3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25（km/h）</w:t>
                  </w:r>
                </w:p>
              </w:tc>
              <w:tc>
                <w:tcPr>
                  <w:tcW w:w="12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0.1517897</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0.255279</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0.429326</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0.58191</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0.722038</w:t>
                  </w:r>
                </w:p>
              </w:tc>
              <w:tc>
                <w:tcPr>
                  <w:tcW w:w="108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0.85357</w:t>
                  </w:r>
                </w:p>
              </w:tc>
              <w:tc>
                <w:tcPr>
                  <w:tcW w:w="1089"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1.435539</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结合上述公式和表中数据分析，在同样路面清洁程度条件下，车速越快，扬尘量越大；而在同样车速情况下，路面越脏，则扬尘量越大。因此，施工期间限速行驶及保持路面的清洁是减少汽车扬尘的有效手段。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施工期扬尘的另一个主要原因是堆场扬尘。废砖、废砂等露天堆放，一些施工点表层土壤需要人工开挖，在气候干燥又有风的情况下，会产生扬尘。其扬尘可按堆场起尘的经验公式计算：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vertAlign w:val="superscript"/>
              </w:rPr>
            </w:pPr>
            <w:r>
              <w:rPr>
                <w:rFonts w:hint="default" w:ascii="Times New Roman" w:hAnsi="Times New Roman" w:eastAsia="宋体" w:cs="Times New Roman"/>
                <w:color w:val="auto"/>
                <w:sz w:val="24"/>
              </w:rPr>
              <w:t>Q=2.1(V</w:t>
            </w:r>
            <w:r>
              <w:rPr>
                <w:rFonts w:hint="default" w:ascii="Times New Roman" w:hAnsi="Times New Roman" w:eastAsia="宋体" w:cs="Times New Roman"/>
                <w:color w:val="auto"/>
                <w:sz w:val="24"/>
                <w:vertAlign w:val="subscript"/>
              </w:rPr>
              <w:t>50</w:t>
            </w: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e</w:t>
            </w:r>
            <w:r>
              <w:rPr>
                <w:rFonts w:hint="default" w:ascii="Times New Roman" w:hAnsi="Times New Roman" w:eastAsia="宋体" w:cs="Times New Roman"/>
                <w:color w:val="auto"/>
                <w:sz w:val="24"/>
                <w:vertAlign w:val="superscript"/>
              </w:rPr>
              <w:t>-1.023w</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 Q——起尘量，kg/吨·年；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50</w:t>
            </w:r>
            <w:r>
              <w:rPr>
                <w:rFonts w:hint="default" w:ascii="Times New Roman" w:hAnsi="Times New Roman" w:eastAsia="宋体" w:cs="Times New Roman"/>
                <w:color w:val="auto"/>
                <w:sz w:val="24"/>
              </w:rPr>
              <w:t>——距地面50m处风速，m/s；</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——起尘风速，m/s；</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W——尘粒的含水率，%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从公式可以看出，起尘量与含水率有关，因此，减少露天堆放和保证一定的含水率及减少裸露地面是减少风力起尘的有效手段。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尘粒在空气中的传播扩散情况与风速等气象条件有关，也与尘粒本身的沉降速度有关。以沙尘为例，不同粒径的尘粒的沉降速度列于下面表7-2中。</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表7-2  不同粒径的尘粒的沉降速度</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3"/>
              <w:gridCol w:w="1079"/>
              <w:gridCol w:w="1078"/>
              <w:gridCol w:w="1078"/>
              <w:gridCol w:w="1078"/>
              <w:gridCol w:w="1078"/>
              <w:gridCol w:w="1078"/>
              <w:gridCol w:w="10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0"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粒径，mm</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w:t>
                  </w:r>
                </w:p>
              </w:tc>
              <w:tc>
                <w:tcPr>
                  <w:tcW w:w="1055"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0"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沉降速度，m/s</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0.027</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0.048</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0.075</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0.108</w:t>
                  </w:r>
                </w:p>
              </w:tc>
              <w:tc>
                <w:tcPr>
                  <w:tcW w:w="1055"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0"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粒径，mm</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0.250</w:t>
                  </w:r>
                </w:p>
              </w:tc>
              <w:tc>
                <w:tcPr>
                  <w:tcW w:w="1055"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0"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沉降速度，m/s</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0.158</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0.182</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0.239</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0.84</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c>
                <w:tcPr>
                  <w:tcW w:w="1055"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0"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粒径，mm</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0.850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0.950</w:t>
                  </w:r>
                </w:p>
              </w:tc>
              <w:tc>
                <w:tcPr>
                  <w:tcW w:w="1055"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0"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沉降速度，m/s</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2.211</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2.614</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3.016</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3.418</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3.820</w:t>
                  </w:r>
                </w:p>
              </w:tc>
              <w:tc>
                <w:tcPr>
                  <w:tcW w:w="1057"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4.222</w:t>
                  </w:r>
                </w:p>
              </w:tc>
              <w:tc>
                <w:tcPr>
                  <w:tcW w:w="1055" w:type="dxa"/>
                  <w:noWrap/>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4.624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由表</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-2可知，尘粒的沉降速度随粒径的增大而迅速增大。当粒径为0.25mm时，沉降速度为1.005m/s，因此可以认为当尘粒大于0.25mm时，主要影响范围在扬尘点下风向近距离范围内，而真正对外环境产生影响的是一些微小尘粒。现场的气候情况不同，其影响范围也有所不同。施工过程中产生的扬尘，属无组织排放，在小风、静风天气作业时，影响范围小，大风天气作业时，污染较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（2）运输车辆及作业机械尾气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机械和汽车运输时所排放的尾气，主要有CO、NOx、THC等大气污染物，会对作业点周围和运输路线两侧局部范围产生一定影响，但影响范围主要局限于施工区内。预计工程施工作业时对局地区域环境空气影响范围仅限于下风向20-30m范围内，不过这种影响时间短，并随施工的完成而消失。其余地区环境空气质量将维持现有水平，所以施工机械尾气对环境空气影响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7.1.1.2施工期大气污染防治措施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减轻扬尘污染，评价要求项目应严格按照晋环发[2010]136号要求的污染防治措施对施工扬尘进行防治。结合项目区的实际情况，评价要求企业不得进行现场搅拌，采用商品混凝土。并且严格执行：施工工地100%围挡，物料堆放100%覆盖，出入车辆100%冲洗，施工场地100%硬化，拆迁工地100%湿法作业，渣土车辆100%密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本次评价提出的具体防治措施见表7-3。</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表7-3  建筑工地扬尘控制措施</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335"/>
              <w:gridCol w:w="70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4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2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控制措施</w:t>
                  </w:r>
                </w:p>
              </w:tc>
              <w:tc>
                <w:tcPr>
                  <w:tcW w:w="70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   评  要  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25"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道路硬化与管理</w:t>
                  </w: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施工场所硬化率达100%以上；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任何时候车行道路上都不能有明显的尘；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道路清扫时都必须采取洒水措施。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25"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边界围挡</w:t>
                  </w: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围挡施工工地100%围挡，高度不低于1.8米，围挡下方设置不低于20厘米高的防溢座以防止粉尘流失；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围挡必须是由金属、混凝土、塑料等硬质材料制作。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任意两块围挡以及围挡与防溢座的拼接处都不能有大于0.5厘米的缝隙，围挡不得有明显破损的漏洞。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25"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裸露地</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(含土方)</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覆盖</w:t>
                  </w: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每一块独立裸露地面100%以上的面积都应采取覆盖措施；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覆盖措施的完好率必须在100%以上；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覆盖措施包括：钢板、防尘网（布）、绿化、化学抑尘剂，或达到同等效率的覆盖措施。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25"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易扬尘</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物料覆盖</w:t>
                  </w: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所有砂石、灰土、灰浆等易扬尘物料都必须以不透水的隔尘布完全覆盖或放置在顶部和四周均有遮蔽的范围内；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防尘布或遮蔽装置的完好率必须大于100%；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小批量且在8小时之内投入使用的物料除外。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2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持续洒水降尘措施</w:t>
                  </w: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施工现场定期喷洒，保证地面湿润，不起尘。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25"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冲洗装置</w:t>
                  </w: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出入车辆100%冲洗；运输车辆驶出工地前，应对车轮、车身、车槽帮等部门进行清理或清洗以保证车辆清洁上路；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洗车喷嘴静水压不低于0.5Mpa；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洗车污水经处理后重复使用，回用率不得低于90%，回用水水质良好，悬浮物浓度不应大于150mg/L；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1325" w:type="dxa"/>
                  <w:vMerge w:val="continue"/>
                  <w:noWrap/>
                  <w:vAlign w:val="center"/>
                </w:tcPr>
                <w:p>
                  <w:pPr>
                    <w:widowControl/>
                    <w:spacing w:line="240" w:lineRule="auto"/>
                    <w:jc w:val="center"/>
                    <w:rPr>
                      <w:rFonts w:hint="default" w:ascii="Times New Roman" w:hAnsi="Times New Roman" w:eastAsia="宋体" w:cs="Times New Roman"/>
                      <w:color w:val="auto"/>
                      <w:sz w:val="21"/>
                      <w:szCs w:val="21"/>
                    </w:rPr>
                  </w:pPr>
                </w:p>
              </w:tc>
              <w:tc>
                <w:tcPr>
                  <w:tcW w:w="7006" w:type="dxa"/>
                  <w:noWrap/>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施工场所车辆入口和出口30米以内部分的路面上不应有明显的泥印，以及砂石、灰土等易扬尘物料；</w:t>
                  </w:r>
                </w:p>
              </w:tc>
            </w:tr>
          </w:tbl>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（2）运输车辆及作业机械尾气</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机械和汽车运输时所排放的尾气，主要有CO、NOx、THC等大气污染物，会对作业点周围和运输路线两侧局部范围产生一定影响，但影响范围主要局限于施工区内。预计工程施工作业时对局地区域环境空气影响范围仅限于下风向20-30m范围内，不过这种影响时间短，并随施工的完成而消失。其余地区环境空气质量将维持现有水平，所以施工机械尾气对环境空气影响小。</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采取上述措施后，可有效控制本项目施工期扬尘对周围环境的影响。</w:t>
            </w:r>
          </w:p>
          <w:p>
            <w:pPr>
              <w:keepNext w:val="0"/>
              <w:keepLines w:val="0"/>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7.1.2施工期水环境影响分析</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施工期的废水有工程建筑施工产生的生产废水；施工人员产生的生活污水；闭水试验废水。</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施工废水经废水沉淀池澄清后，回用于场地洒水降尘等、不外排，对当地地表水环境影响较小。</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场地施工时，施工工人生活污水利用附近瑞迪航空</w:t>
            </w:r>
            <w:r>
              <w:rPr>
                <w:rFonts w:hint="default" w:ascii="Times New Roman" w:hAnsi="Times New Roman" w:eastAsia="宋体" w:cs="Times New Roman"/>
                <w:snapToGrid w:val="0"/>
                <w:color w:val="auto"/>
                <w:sz w:val="24"/>
                <w:lang w:eastAsia="zh-CN"/>
              </w:rPr>
              <w:t>迪</w:t>
            </w:r>
            <w:r>
              <w:rPr>
                <w:rFonts w:hint="default" w:ascii="Times New Roman" w:hAnsi="Times New Roman" w:eastAsia="宋体" w:cs="Times New Roman"/>
                <w:snapToGrid w:val="0"/>
                <w:color w:val="auto"/>
                <w:sz w:val="24"/>
              </w:rPr>
              <w:t>旱厕收集，收集后供当地农户施肥农用，不外排，不会对地表水造成影响。</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在采取合理有效的各项措施后，项目施工对地表水环境的影响将被降低至最低程度，影响较小。</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评价认为，经处理后，施工期废水对周围水环境影响较小。</w:t>
            </w:r>
          </w:p>
          <w:p>
            <w:pPr>
              <w:keepNext w:val="0"/>
              <w:keepLines w:val="0"/>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7.1.3施工期噪声环境影响分析</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（1）施工期噪声源</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噪声主要有施工场地噪声和材料运输的交通噪声。其中施工场地噪声主要是施工机械设备噪声及物料装卸碰撞噪声。由于施工噪声是由多种施工机械设备和运输车辆发出的，而且一般设备的运作都是间歇性的，因此，施工过程产生的噪声有间歇性和短暂性的特点。</w:t>
            </w:r>
          </w:p>
          <w:p>
            <w:pPr>
              <w:keepNext w:val="0"/>
              <w:keepLines w:val="0"/>
              <w:pageBreakBefore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本项目施工所用的机械设备种类繁多，该项目施工过程使用的机械主要有：挖掘机、推土机、自卸汽车等。施工过程主要有土石方阶段、基础阶段、结构安装阶段，各阶段主要噪声源及其噪声级见表7-4。</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表7-4</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施工期主要噪声源一览表  单位：dB（A）</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74"/>
              <w:gridCol w:w="3084"/>
              <w:gridCol w:w="29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tabs>
                      <w:tab w:val="left" w:pos="1737"/>
                    </w:tabs>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施工机械</w:t>
                  </w:r>
                </w:p>
              </w:tc>
              <w:tc>
                <w:tcPr>
                  <w:tcW w:w="3084" w:type="dxa"/>
                  <w:noWrap/>
                  <w:vAlign w:val="center"/>
                </w:tcPr>
                <w:p>
                  <w:pPr>
                    <w:tabs>
                      <w:tab w:val="left" w:pos="1737"/>
                    </w:tabs>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设备的声压级</w:t>
                  </w:r>
                </w:p>
              </w:tc>
              <w:tc>
                <w:tcPr>
                  <w:tcW w:w="2980" w:type="dxa"/>
                  <w:noWrap/>
                  <w:vAlign w:val="center"/>
                </w:tcPr>
                <w:p>
                  <w:pPr>
                    <w:tabs>
                      <w:tab w:val="left" w:pos="1737"/>
                    </w:tabs>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声源性质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308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90～95</w:t>
                  </w:r>
                </w:p>
              </w:tc>
              <w:tc>
                <w:tcPr>
                  <w:tcW w:w="2980"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308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2980"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各种车辆</w:t>
                  </w:r>
                </w:p>
              </w:tc>
              <w:tc>
                <w:tcPr>
                  <w:tcW w:w="308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c>
                <w:tcPr>
                  <w:tcW w:w="2980"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振捣棒</w:t>
                  </w:r>
                </w:p>
              </w:tc>
              <w:tc>
                <w:tcPr>
                  <w:tcW w:w="3084"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85～95</w:t>
                  </w:r>
                </w:p>
              </w:tc>
              <w:tc>
                <w:tcPr>
                  <w:tcW w:w="2980" w:type="dxa"/>
                  <w:noWrap/>
                  <w:vAlign w:val="center"/>
                </w:tcPr>
                <w:p>
                  <w:pPr>
                    <w:tabs>
                      <w:tab w:val="left" w:pos="1737"/>
                    </w:tabs>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电锯</w:t>
                  </w:r>
                </w:p>
              </w:tc>
              <w:tc>
                <w:tcPr>
                  <w:tcW w:w="3084"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90～95</w:t>
                  </w:r>
                </w:p>
              </w:tc>
              <w:tc>
                <w:tcPr>
                  <w:tcW w:w="2980"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起重机</w:t>
                  </w:r>
                </w:p>
              </w:tc>
              <w:tc>
                <w:tcPr>
                  <w:tcW w:w="3084"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100~110</w:t>
                  </w:r>
                </w:p>
              </w:tc>
              <w:tc>
                <w:tcPr>
                  <w:tcW w:w="2980"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4"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升降机</w:t>
                  </w:r>
                </w:p>
              </w:tc>
              <w:tc>
                <w:tcPr>
                  <w:tcW w:w="3084"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95~105</w:t>
                  </w:r>
                </w:p>
              </w:tc>
              <w:tc>
                <w:tcPr>
                  <w:tcW w:w="2980" w:type="dxa"/>
                  <w:noWrap/>
                  <w:vAlign w:val="center"/>
                </w:tcPr>
                <w:p>
                  <w:pPr>
                    <w:spacing w:line="240" w:lineRule="auto"/>
                    <w:contextualSpacing/>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间歇</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本项目施工阶段一般为露天作业且无隔声与降声措施，受影响面较大。本评价针对主要噪声源进行环境影响预测分析。采用点声源几何衰减计算公式预测，预测公式如下：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i/>
                <w:color w:val="auto"/>
                <w:sz w:val="24"/>
                <w:lang w:val="pt-BR"/>
              </w:rPr>
            </w:pPr>
            <w:r>
              <w:rPr>
                <w:rFonts w:hint="default" w:ascii="Times New Roman" w:hAnsi="Times New Roman" w:eastAsia="宋体" w:cs="Times New Roman"/>
                <w:i/>
                <w:color w:val="auto"/>
                <w:sz w:val="24"/>
                <w:lang w:val="pt-BR"/>
              </w:rPr>
              <w:t>L</w:t>
            </w:r>
            <w:r>
              <w:rPr>
                <w:rFonts w:hint="default" w:ascii="Times New Roman" w:hAnsi="Times New Roman" w:eastAsia="宋体" w:cs="Times New Roman"/>
                <w:i/>
                <w:color w:val="auto"/>
                <w:sz w:val="24"/>
                <w:vertAlign w:val="subscript"/>
                <w:lang w:val="pt-BR"/>
              </w:rPr>
              <w:t>A</w:t>
            </w:r>
            <w:r>
              <w:rPr>
                <w:rFonts w:hint="default" w:ascii="Times New Roman" w:hAnsi="Times New Roman" w:eastAsia="宋体" w:cs="Times New Roman"/>
                <w:i/>
                <w:color w:val="auto"/>
                <w:sz w:val="24"/>
                <w:lang w:val="pt-BR"/>
              </w:rPr>
              <w:t>(r)=L</w:t>
            </w:r>
            <w:r>
              <w:rPr>
                <w:rFonts w:hint="default" w:ascii="Times New Roman" w:hAnsi="Times New Roman" w:eastAsia="宋体" w:cs="Times New Roman"/>
                <w:i/>
                <w:color w:val="auto"/>
                <w:sz w:val="24"/>
                <w:vertAlign w:val="subscript"/>
                <w:lang w:val="pt-BR"/>
              </w:rPr>
              <w:t>A</w:t>
            </w:r>
            <w:r>
              <w:rPr>
                <w:rFonts w:hint="default" w:ascii="Times New Roman" w:hAnsi="Times New Roman" w:eastAsia="宋体" w:cs="Times New Roman"/>
                <w:i/>
                <w:color w:val="auto"/>
                <w:sz w:val="24"/>
                <w:lang w:val="pt-BR"/>
              </w:rPr>
              <w:t>(r</w:t>
            </w:r>
            <w:r>
              <w:rPr>
                <w:rFonts w:hint="default" w:ascii="Times New Roman" w:hAnsi="Times New Roman" w:eastAsia="宋体" w:cs="Times New Roman"/>
                <w:i/>
                <w:color w:val="auto"/>
                <w:sz w:val="24"/>
                <w:vertAlign w:val="subscript"/>
                <w:lang w:val="pt-BR"/>
              </w:rPr>
              <w:t>0</w:t>
            </w:r>
            <w:r>
              <w:rPr>
                <w:rFonts w:hint="default" w:ascii="Times New Roman" w:hAnsi="Times New Roman" w:eastAsia="宋体" w:cs="Times New Roman"/>
                <w:i/>
                <w:color w:val="auto"/>
                <w:sz w:val="24"/>
                <w:lang w:val="pt-BR"/>
              </w:rPr>
              <w:t>)–20 lg(r/r</w:t>
            </w:r>
            <w:r>
              <w:rPr>
                <w:rFonts w:hint="default" w:ascii="Times New Roman" w:hAnsi="Times New Roman" w:eastAsia="宋体" w:cs="Times New Roman"/>
                <w:i/>
                <w:color w:val="auto"/>
                <w:sz w:val="24"/>
                <w:vertAlign w:val="subscript"/>
                <w:lang w:val="pt-BR"/>
              </w:rPr>
              <w:t>0</w:t>
            </w:r>
            <w:r>
              <w:rPr>
                <w:rFonts w:hint="default" w:ascii="Times New Roman" w:hAnsi="Times New Roman" w:eastAsia="宋体" w:cs="Times New Roman"/>
                <w:i/>
                <w:color w:val="auto"/>
                <w:sz w:val="24"/>
                <w:lang w:val="pt-BR"/>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lang w:val="pt-BR"/>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val="pt-BR"/>
              </w:rPr>
              <w:t>：</w:t>
            </w:r>
            <w:r>
              <w:rPr>
                <w:rFonts w:hint="default" w:ascii="Times New Roman" w:hAnsi="Times New Roman" w:eastAsia="宋体" w:cs="Times New Roman"/>
                <w:i/>
                <w:color w:val="auto"/>
                <w:sz w:val="24"/>
                <w:lang w:val="pt-BR"/>
              </w:rPr>
              <w:t>L</w:t>
            </w:r>
            <w:r>
              <w:rPr>
                <w:rFonts w:hint="default" w:ascii="Times New Roman" w:hAnsi="Times New Roman" w:eastAsia="宋体" w:cs="Times New Roman"/>
                <w:i/>
                <w:color w:val="auto"/>
                <w:sz w:val="24"/>
                <w:vertAlign w:val="subscript"/>
                <w:lang w:val="pt-BR"/>
              </w:rPr>
              <w:t>A</w:t>
            </w:r>
            <w:r>
              <w:rPr>
                <w:rFonts w:hint="default" w:ascii="Times New Roman" w:hAnsi="Times New Roman" w:eastAsia="宋体" w:cs="Times New Roman"/>
                <w:i/>
                <w:color w:val="auto"/>
                <w:sz w:val="24"/>
                <w:lang w:val="pt-BR"/>
              </w:rPr>
              <w:t>(r)</w:t>
            </w:r>
            <w:r>
              <w:rPr>
                <w:rFonts w:hint="default" w:ascii="Times New Roman" w:hAnsi="Times New Roman" w:eastAsia="宋体" w:cs="Times New Roman"/>
                <w:color w:val="auto"/>
                <w:sz w:val="24"/>
                <w:lang w:val="pt-BR"/>
              </w:rPr>
              <w:t>——</w:t>
            </w:r>
            <w:r>
              <w:rPr>
                <w:rFonts w:hint="default" w:ascii="Times New Roman" w:hAnsi="Times New Roman" w:eastAsia="宋体" w:cs="Times New Roman"/>
                <w:color w:val="auto"/>
                <w:sz w:val="24"/>
              </w:rPr>
              <w:t>预测点处的声压级</w:t>
            </w:r>
            <w:r>
              <w:rPr>
                <w:rFonts w:hint="default" w:ascii="Times New Roman" w:hAnsi="Times New Roman" w:eastAsia="宋体" w:cs="Times New Roman"/>
                <w:color w:val="auto"/>
                <w:sz w:val="24"/>
                <w:lang w:val="pt-BR"/>
              </w:rPr>
              <w:t>，dB(A)；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lang w:val="pt-BR"/>
              </w:rPr>
            </w:pPr>
            <w:r>
              <w:rPr>
                <w:rFonts w:hint="default" w:ascii="Times New Roman" w:hAnsi="Times New Roman" w:eastAsia="宋体" w:cs="Times New Roman"/>
                <w:i/>
                <w:color w:val="auto"/>
                <w:sz w:val="24"/>
                <w:lang w:val="pt-BR"/>
              </w:rPr>
              <w:t>L</w:t>
            </w:r>
            <w:r>
              <w:rPr>
                <w:rFonts w:hint="default" w:ascii="Times New Roman" w:hAnsi="Times New Roman" w:eastAsia="宋体" w:cs="Times New Roman"/>
                <w:i/>
                <w:color w:val="auto"/>
                <w:sz w:val="24"/>
                <w:vertAlign w:val="subscript"/>
                <w:lang w:val="pt-BR"/>
              </w:rPr>
              <w:t>A</w:t>
            </w:r>
            <w:r>
              <w:rPr>
                <w:rFonts w:hint="default" w:ascii="Times New Roman" w:hAnsi="Times New Roman" w:eastAsia="宋体" w:cs="Times New Roman"/>
                <w:i/>
                <w:color w:val="auto"/>
                <w:sz w:val="24"/>
                <w:lang w:val="pt-BR"/>
              </w:rPr>
              <w:t>(r</w:t>
            </w:r>
            <w:r>
              <w:rPr>
                <w:rFonts w:hint="default" w:ascii="Times New Roman" w:hAnsi="Times New Roman" w:eastAsia="宋体" w:cs="Times New Roman"/>
                <w:i/>
                <w:color w:val="auto"/>
                <w:sz w:val="24"/>
                <w:vertAlign w:val="subscript"/>
                <w:lang w:val="pt-BR"/>
              </w:rPr>
              <w:t>0</w:t>
            </w:r>
            <w:r>
              <w:rPr>
                <w:rFonts w:hint="default" w:ascii="Times New Roman" w:hAnsi="Times New Roman" w:eastAsia="宋体" w:cs="Times New Roman"/>
                <w:i/>
                <w:color w:val="auto"/>
                <w:sz w:val="24"/>
                <w:lang w:val="pt-BR"/>
              </w:rPr>
              <w:t>)</w:t>
            </w:r>
            <w:r>
              <w:rPr>
                <w:rFonts w:hint="default" w:ascii="Times New Roman" w:hAnsi="Times New Roman" w:eastAsia="宋体" w:cs="Times New Roman"/>
                <w:color w:val="auto"/>
                <w:sz w:val="24"/>
                <w:lang w:val="pt-BR"/>
              </w:rPr>
              <w:t>——</w:t>
            </w:r>
            <w:r>
              <w:rPr>
                <w:rFonts w:hint="default" w:ascii="Times New Roman" w:hAnsi="Times New Roman" w:eastAsia="宋体" w:cs="Times New Roman"/>
                <w:color w:val="auto"/>
                <w:sz w:val="24"/>
              </w:rPr>
              <w:t>参考点</w:t>
            </w:r>
            <w:r>
              <w:rPr>
                <w:rFonts w:hint="default" w:ascii="Times New Roman" w:hAnsi="Times New Roman" w:eastAsia="宋体" w:cs="Times New Roman"/>
                <w:i/>
                <w:color w:val="auto"/>
                <w:sz w:val="24"/>
                <w:lang w:val="pt-BR"/>
              </w:rPr>
              <w:t>r</w:t>
            </w:r>
            <w:r>
              <w:rPr>
                <w:rFonts w:hint="default" w:ascii="Times New Roman" w:hAnsi="Times New Roman" w:eastAsia="宋体" w:cs="Times New Roman"/>
                <w:i/>
                <w:color w:val="auto"/>
                <w:sz w:val="24"/>
                <w:vertAlign w:val="subscript"/>
                <w:lang w:val="pt-BR"/>
              </w:rPr>
              <w:t>0</w:t>
            </w:r>
            <w:r>
              <w:rPr>
                <w:rFonts w:hint="default" w:ascii="Times New Roman" w:hAnsi="Times New Roman" w:eastAsia="宋体" w:cs="Times New Roman"/>
                <w:color w:val="auto"/>
                <w:sz w:val="24"/>
              </w:rPr>
              <w:t>处的声压级</w:t>
            </w:r>
            <w:r>
              <w:rPr>
                <w:rFonts w:hint="default" w:ascii="Times New Roman" w:hAnsi="Times New Roman" w:eastAsia="宋体" w:cs="Times New Roman"/>
                <w:color w:val="auto"/>
                <w:sz w:val="24"/>
                <w:lang w:val="pt-BR"/>
              </w:rPr>
              <w:t>，dB(A)；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lang w:val="pt-BR"/>
              </w:rPr>
            </w:pPr>
            <w:r>
              <w:rPr>
                <w:rFonts w:hint="default" w:ascii="Times New Roman" w:hAnsi="Times New Roman" w:eastAsia="宋体" w:cs="Times New Roman"/>
                <w:i/>
                <w:color w:val="auto"/>
                <w:sz w:val="24"/>
                <w:lang w:val="pt-BR"/>
              </w:rPr>
              <w:t>r</w:t>
            </w:r>
            <w:r>
              <w:rPr>
                <w:rFonts w:hint="default" w:ascii="Times New Roman" w:hAnsi="Times New Roman" w:eastAsia="宋体" w:cs="Times New Roman"/>
                <w:color w:val="auto"/>
                <w:sz w:val="24"/>
                <w:lang w:val="pt-BR"/>
              </w:rPr>
              <w:t>——</w:t>
            </w:r>
            <w:r>
              <w:rPr>
                <w:rFonts w:hint="default" w:ascii="Times New Roman" w:hAnsi="Times New Roman" w:eastAsia="宋体" w:cs="Times New Roman"/>
                <w:color w:val="auto"/>
                <w:sz w:val="24"/>
              </w:rPr>
              <w:t>噪声源至预测点的距离</w:t>
            </w:r>
            <w:r>
              <w:rPr>
                <w:rFonts w:hint="default" w:ascii="Times New Roman" w:hAnsi="Times New Roman" w:eastAsia="宋体" w:cs="Times New Roman"/>
                <w:color w:val="auto"/>
                <w:sz w:val="24"/>
                <w:lang w:val="pt-BR"/>
              </w:rPr>
              <w:t>，m</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表7-5给出离开声源不同距离处预测值。</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表7-5</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单台施工机械噪声几何衰减值情况表单位：dB（A）</w:t>
            </w:r>
          </w:p>
          <w:tbl>
            <w:tblPr>
              <w:tblStyle w:val="77"/>
              <w:tblW w:w="9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92"/>
              <w:gridCol w:w="746"/>
              <w:gridCol w:w="746"/>
              <w:gridCol w:w="746"/>
              <w:gridCol w:w="746"/>
              <w:gridCol w:w="746"/>
              <w:gridCol w:w="746"/>
              <w:gridCol w:w="746"/>
              <w:gridCol w:w="746"/>
              <w:gridCol w:w="746"/>
              <w:gridCol w:w="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Merge w:val="restart"/>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092" w:type="dxa"/>
                  <w:vMerge w:val="restart"/>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机械名称</w:t>
                  </w:r>
                </w:p>
              </w:tc>
              <w:tc>
                <w:tcPr>
                  <w:tcW w:w="7466" w:type="dxa"/>
                  <w:gridSpan w:val="10"/>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不同距离处的噪声预测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Merge w:val="continue"/>
                  <w:noWrap/>
                  <w:vAlign w:val="center"/>
                </w:tcPr>
                <w:p>
                  <w:pPr>
                    <w:contextualSpacing/>
                    <w:jc w:val="center"/>
                    <w:rPr>
                      <w:rFonts w:hint="default" w:ascii="Times New Roman" w:hAnsi="Times New Roman" w:eastAsia="宋体" w:cs="Times New Roman"/>
                      <w:color w:val="auto"/>
                      <w:szCs w:val="21"/>
                    </w:rPr>
                  </w:pPr>
                </w:p>
              </w:tc>
              <w:tc>
                <w:tcPr>
                  <w:tcW w:w="1092" w:type="dxa"/>
                  <w:vMerge w:val="continue"/>
                  <w:noWrap/>
                  <w:vAlign w:val="center"/>
                </w:tcPr>
                <w:p>
                  <w:pPr>
                    <w:contextualSpacing/>
                    <w:jc w:val="center"/>
                    <w:rPr>
                      <w:rFonts w:hint="default" w:ascii="Times New Roman" w:hAnsi="Times New Roman" w:eastAsia="宋体" w:cs="Times New Roman"/>
                      <w:color w:val="auto"/>
                      <w:szCs w:val="21"/>
                    </w:rPr>
                  </w:pP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200m</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250m</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推土机</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58</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挖掘机</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75</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68</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61</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各种车辆</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48</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32</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4</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振捣棒</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39</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5</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电锯</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58</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6</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起重机</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58</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noWrap/>
                  <w:vAlign w:val="center"/>
                </w:tcPr>
                <w:p>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7</w:t>
                  </w:r>
                </w:p>
              </w:tc>
              <w:tc>
                <w:tcPr>
                  <w:tcW w:w="109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升降机</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58</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44</w:t>
                  </w:r>
                </w:p>
              </w:tc>
              <w:tc>
                <w:tcPr>
                  <w:tcW w:w="746"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w:t>
                  </w:r>
                </w:p>
              </w:tc>
              <w:tc>
                <w:tcPr>
                  <w:tcW w:w="752" w:type="dxa"/>
                  <w:noWrap/>
                  <w:vAlign w:val="center"/>
                </w:tcPr>
                <w:p>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表7-6</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主要施工阶段现场综合不同距离噪声影响</w:t>
            </w:r>
          </w:p>
          <w:tbl>
            <w:tblPr>
              <w:tblStyle w:val="77"/>
              <w:tblW w:w="92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01"/>
              <w:gridCol w:w="859"/>
              <w:gridCol w:w="859"/>
              <w:gridCol w:w="860"/>
              <w:gridCol w:w="860"/>
              <w:gridCol w:w="860"/>
              <w:gridCol w:w="860"/>
              <w:gridCol w:w="860"/>
              <w:gridCol w:w="860"/>
              <w:gridCol w:w="8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01" w:type="dxa"/>
                  <w:vMerge w:val="restart"/>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施工阶段</w:t>
                  </w:r>
                </w:p>
              </w:tc>
              <w:tc>
                <w:tcPr>
                  <w:tcW w:w="7743" w:type="dxa"/>
                  <w:gridSpan w:val="9"/>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距声源不同距离处噪声级值[dB(A)]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01" w:type="dxa"/>
                  <w:vMerge w:val="continue"/>
                  <w:noWrap/>
                  <w:vAlign w:val="center"/>
                </w:tcPr>
                <w:p>
                  <w:pPr>
                    <w:autoSpaceDE w:val="0"/>
                    <w:autoSpaceDN w:val="0"/>
                    <w:contextualSpacing/>
                    <w:jc w:val="center"/>
                    <w:rPr>
                      <w:rFonts w:hint="default" w:ascii="Times New Roman" w:hAnsi="Times New Roman" w:eastAsia="宋体" w:cs="Times New Roman"/>
                      <w:color w:val="auto"/>
                      <w:szCs w:val="21"/>
                      <w:lang w:val="zh-CN"/>
                    </w:rPr>
                  </w:pP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10m</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20m</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30m</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50m</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100m</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150m</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200m</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300m</w:t>
                  </w:r>
                </w:p>
              </w:tc>
              <w:tc>
                <w:tcPr>
                  <w:tcW w:w="865"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400m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01"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土石方</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71.5</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65.5</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62</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57.5</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51.2</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47.5</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44.8</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40.9</w:t>
                  </w:r>
                </w:p>
              </w:tc>
              <w:tc>
                <w:tcPr>
                  <w:tcW w:w="865"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01"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打桩</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82.3</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76.3</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72.7</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68.3</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62.1</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59.3</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55.6</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51.7</w:t>
                  </w:r>
                </w:p>
              </w:tc>
              <w:tc>
                <w:tcPr>
                  <w:tcW w:w="865"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48.8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01"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结构</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84.10</w:t>
                  </w:r>
                </w:p>
              </w:tc>
              <w:tc>
                <w:tcPr>
                  <w:tcW w:w="859"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78.2</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74.6</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70.2</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64.2</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60.7</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58.2</w:t>
                  </w:r>
                </w:p>
              </w:tc>
              <w:tc>
                <w:tcPr>
                  <w:tcW w:w="860"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54.7</w:t>
                  </w:r>
                </w:p>
              </w:tc>
              <w:tc>
                <w:tcPr>
                  <w:tcW w:w="865" w:type="dxa"/>
                  <w:noWrap/>
                  <w:vAlign w:val="center"/>
                </w:tcPr>
                <w:p>
                  <w:pPr>
                    <w:autoSpaceDE w:val="0"/>
                    <w:autoSpaceDN w:val="0"/>
                    <w:contextualSpacing/>
                    <w:jc w:val="center"/>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52.2</w:t>
                  </w:r>
                </w:p>
              </w:tc>
            </w:tr>
          </w:tbl>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根据上述噪声影响预测结果，与《建筑施工场界环境噪声排放标准》(GB 12523-2011)比较，土石方阶段昼间12m处噪声能达到标准要求，105m处能达到夜间标准要求；打桩阶段昼间35m处噪声能达到标准要求，该阶段夜间禁止施工；结构阶段昼间51m处噪声能达到标准要求。</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（2）施工期</w:t>
            </w:r>
            <w:r>
              <w:rPr>
                <w:rFonts w:hint="default" w:ascii="Times New Roman" w:hAnsi="Times New Roman" w:eastAsia="宋体" w:cs="Times New Roman"/>
                <w:color w:val="auto"/>
                <w:sz w:val="24"/>
                <w:szCs w:val="20"/>
              </w:rPr>
              <w:t>噪声污染防治措施</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为了最大限度地减少施工机械、设备噪声对周边村民的影响，环评要求采取以下措施：</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从声源上控制：施工单位应尽量采用低噪声设备，同时，在施工过程中，应尽量避免在同一地点安排大量的动力机械设备，以避免局部声级过高；施工单位应设专人对动力机械设备进行定期保养和维护，并负责对现场工作人员进行培训，严格按操作规范使用各类机械，遵守作业规定，减少碰撞噪声；应尽量少用哨子、喇叭等指挥作业，减少人为噪声。</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②合理安排施工时间和施工顺序：施工单位应严格遵守施工作业的相关规定，夜间22:00～06:00停止施工。</w:t>
            </w:r>
          </w:p>
          <w:p>
            <w:pPr>
              <w:pStyle w:val="45"/>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③其他措施：对物料、土方等运输过程产噪的控制首先应根据运输路线选择周围敏感目标分布少的路线，施工运输车辆在经过环境敏感点时，应减速慢行、静止鸣笛。建设管理部门应加强对施工场地的噪声管理，施工企业也应对施工噪声进行自律，文明施工，避免因施工噪声产生纠纷。</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a：严格实施运输过程管理，敏感路段应限速，物料装卸应规范操作。</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控制汽车鸣笛噪声：汽车鸣笛噪声声级值高（近点处可达100dB(A)），对环境干扰较大，往往是环境噪声超标的主要因素。因此，控制汽车鸣笛噪声对改善评价区域的声环境，具有十分积极的作用。施工单位应采取相应的措施，禁止汽车在声敏感区域鸣笛。</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c：设立专门的运输通道，作为施工期运输通道，减轻运输交通噪声的影响。</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b/>
                <w:color w:val="auto"/>
                <w:sz w:val="24"/>
                <w:szCs w:val="21"/>
              </w:rPr>
            </w:pPr>
            <w:r>
              <w:rPr>
                <w:rFonts w:hint="default" w:ascii="Times New Roman" w:hAnsi="Times New Roman" w:eastAsia="宋体" w:cs="Times New Roman"/>
                <w:color w:val="auto"/>
                <w:sz w:val="24"/>
                <w:szCs w:val="21"/>
              </w:rPr>
              <w:t>④安排工人轮流进行机械操作，减少接触高噪声的时间，对在声源附近工作时间较长的工人，发放防声耳塞、头盔等，对工人进行自身保护。</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⑤多倾听周围居民的意见和要求，及时改进，取得附近居民的谅解和认同。</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6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加强施工期噪声监督与管理</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建设施工期，工程业主和有关管理部门应设立举报途径，并应加强日常监督管理，发现违规行为应及时纠正，以确保工程施工阶段的声环境要求。</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通过采取以上措施，可以有效减小施工期噪声的影响，且施工过程中噪声污染只是暂时的，随着工程的结束，本项目施工期对周围环境的影响也将消失。</w:t>
            </w:r>
          </w:p>
          <w:p>
            <w:pPr>
              <w:keepNext w:val="0"/>
              <w:keepLines w:val="0"/>
              <w:pageBreakBefore w:val="0"/>
              <w:kinsoku/>
              <w:wordWrap/>
              <w:overflowPunct/>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7.1.4施工期固体废物环境影响分析</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施工期产生的固体废物主要为建筑垃圾、施工人员生活垃圾、剩余土方量。</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本项目建筑垃圾产生量较少，包括建筑施工的废料和包装材料等。</w:t>
            </w:r>
            <w:r>
              <w:rPr>
                <w:rFonts w:hint="default" w:ascii="Times New Roman" w:hAnsi="Times New Roman" w:eastAsia="宋体" w:cs="Times New Roman"/>
                <w:color w:val="auto"/>
                <w:sz w:val="24"/>
              </w:rPr>
              <w:t>施工建筑垃圾运至指定的建筑垃圾堆存地点，项目施工期应确保废渣运输车辆不带泥土驶出工地，尽可能采用密闭车斗，并保证物料不遗撒外漏。若无密闭车斗，渣土的装载高度不得超过车辆槽帮上沿，车斗用苫布遮盖严实，苫布边缘至少要遮住槽帮上沿以下15cm，保证渣土不泄露。采取以上措施后，可以减轻对运输路线两侧环境的影响。</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施工人员产生的生活垃圾以1.0kg/d的人均生活垃圾产生量计算，施工人员生活垃圾产生量0.05t/d。在施工现场集中收集，定期交由当地环卫部门集中处置，禁止乱堆乱放。</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土石方平衡：根据设计，项目总挖方量约</w:t>
            </w:r>
            <w:r>
              <w:rPr>
                <w:rFonts w:hint="default" w:ascii="Times New Roman" w:hAnsi="Times New Roman" w:eastAsia="宋体" w:cs="Times New Roman"/>
                <w:color w:val="auto"/>
                <w:sz w:val="24"/>
                <w:lang w:val="en-US" w:eastAsia="zh-CN"/>
              </w:rPr>
              <w:t>5858.748</w:t>
            </w:r>
            <w:r>
              <w:rPr>
                <w:rFonts w:hint="default" w:ascii="Times New Roman" w:hAnsi="Times New Roman" w:eastAsia="宋体" w:cs="Times New Roman"/>
                <w:color w:val="auto"/>
                <w:sz w:val="24"/>
              </w:rPr>
              <w:t>m³，</w:t>
            </w:r>
            <w:r>
              <w:rPr>
                <w:rFonts w:hint="default" w:ascii="Times New Roman" w:hAnsi="Times New Roman" w:eastAsia="宋体" w:cs="Times New Roman"/>
                <w:color w:val="auto"/>
                <w:sz w:val="24"/>
                <w:lang w:eastAsia="zh-CN"/>
              </w:rPr>
              <w:t>河道治理借方量约</w:t>
            </w:r>
            <w:r>
              <w:rPr>
                <w:rFonts w:hint="default" w:ascii="Times New Roman" w:hAnsi="Times New Roman" w:eastAsia="宋体" w:cs="Times New Roman"/>
                <w:color w:val="auto"/>
                <w:sz w:val="24"/>
                <w:lang w:val="en-US" w:eastAsia="zh-CN"/>
              </w:rPr>
              <w:t>3905.832</w:t>
            </w:r>
            <w:r>
              <w:rPr>
                <w:rFonts w:hint="default" w:ascii="Times New Roman" w:hAnsi="Times New Roman" w:eastAsia="宋体" w:cs="Times New Roman"/>
                <w:color w:val="auto"/>
                <w:sz w:val="24"/>
              </w:rPr>
              <w:t>m³</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填方量约</w:t>
            </w:r>
            <w:r>
              <w:rPr>
                <w:rFonts w:hint="default" w:ascii="Times New Roman" w:hAnsi="Times New Roman" w:eastAsia="宋体" w:cs="Times New Roman"/>
                <w:color w:val="auto"/>
                <w:sz w:val="24"/>
                <w:lang w:val="en-US" w:eastAsia="zh-CN"/>
              </w:rPr>
              <w:t>9764.58</w:t>
            </w:r>
            <w:r>
              <w:rPr>
                <w:rFonts w:hint="default" w:ascii="Times New Roman" w:hAnsi="Times New Roman" w:eastAsia="宋体" w:cs="Times New Roman"/>
                <w:color w:val="auto"/>
                <w:sz w:val="24"/>
              </w:rPr>
              <w:t>m³，土方平衡见下图。</w:t>
            </w:r>
          </w:p>
          <w:p>
            <w:pPr>
              <w:keepNext w:val="0"/>
              <w:keepLines w:val="0"/>
              <w:pageBreakBefore w:val="0"/>
              <w:kinsoku/>
              <w:wordWrap/>
              <w:overflowPunct/>
              <w:bidi w:val="0"/>
              <w:adjustRightInd w:val="0"/>
              <w:snapToGrid w:val="0"/>
              <w:spacing w:line="480" w:lineRule="exact"/>
              <w:ind w:firstLine="480" w:firstLineChars="200"/>
              <w:jc w:val="center"/>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pict>
                <v:group id="_x0000_s2126" o:spid="_x0000_s2126" o:spt="203" style="position:absolute;left:0pt;margin-left:17.6pt;margin-top:6.35pt;height:48.7pt;width:422.8pt;z-index:251660288;mso-width-relative:page;mso-height-relative:page;" coordorigin="4170,433546" coordsize="7932,974">
                  <o:lock v:ext="edit" aspectratio="f"/>
                  <v:group id="_x0000_s2127" o:spid="_x0000_s2127" o:spt="203" style="position:absolute;left:4170;top:433546;height:974;width:4935;" coordorigin="4170,433546" coordsize="4935,974">
                    <o:lock v:ext="edit" aspectratio="f"/>
                    <v:shape id="_x0000_s2128" o:spid="_x0000_s2128" o:spt="202" type="#_x0000_t202" style="position:absolute;left:4215;top:433546;height:525;width:2654;" filled="f" stroked="f" coordsize="21600,21600">
                      <v:path/>
                      <v:fill on="f" focussize="0,0"/>
                      <v:stroke on="f" dashstyle="dash"/>
                      <v:imagedata o:title=""/>
                      <o:lock v:ext="edit" aspectratio="f"/>
                      <v:textbox>
                        <w:txbxContent>
                          <w:p>
                            <w:pPr>
                              <w:rPr>
                                <w:rFonts w:hint="default" w:eastAsia="宋体"/>
                                <w:sz w:val="24"/>
                                <w:szCs w:val="32"/>
                                <w:lang w:val="en-US" w:eastAsia="zh-CN"/>
                              </w:rPr>
                            </w:pPr>
                            <w:r>
                              <w:rPr>
                                <w:rFonts w:hint="eastAsia"/>
                                <w:sz w:val="24"/>
                                <w:szCs w:val="32"/>
                                <w:lang w:val="en-US" w:eastAsia="zh-CN"/>
                              </w:rPr>
                              <w:t>就地挖方（5858.748</w:t>
                            </w:r>
                            <w:r>
                              <w:rPr>
                                <w:color w:val="auto"/>
                                <w:sz w:val="24"/>
                              </w:rPr>
                              <w:t>m³</w:t>
                            </w:r>
                            <w:r>
                              <w:rPr>
                                <w:rFonts w:hint="eastAsia"/>
                                <w:sz w:val="24"/>
                                <w:szCs w:val="32"/>
                                <w:lang w:val="en-US" w:eastAsia="zh-CN"/>
                              </w:rPr>
                              <w:t>）</w:t>
                            </w:r>
                          </w:p>
                        </w:txbxContent>
                      </v:textbox>
                    </v:shape>
                    <v:shape id="_x0000_s2129" o:spid="_x0000_s2129" o:spt="32" type="#_x0000_t32" style="position:absolute;left:6690;top:433739;height:182;width:2415;" filled="f" stroked="t" coordsize="21600,21600">
                      <v:path arrowok="t"/>
                      <v:fill on="f" focussize="0,0"/>
                      <v:stroke color="#000000" endarrow="open"/>
                      <v:imagedata o:title=""/>
                      <o:lock v:ext="edit" aspectratio="f"/>
                    </v:shape>
                    <v:shape id="_x0000_s2130" o:spid="_x0000_s2130" o:spt="202" type="#_x0000_t202" style="position:absolute;left:4170;top:433996;height:525;width:2983;" filled="f" stroked="f" coordsize="21600,21600">
                      <v:path/>
                      <v:fill on="f" focussize="0,0"/>
                      <v:stroke on="f"/>
                      <v:imagedata o:title=""/>
                      <o:lock v:ext="edit" aspectratio="f"/>
                      <v:textbox>
                        <w:txbxContent>
                          <w:p>
                            <w:pPr>
                              <w:rPr>
                                <w:rFonts w:hint="default" w:eastAsia="宋体"/>
                                <w:sz w:val="24"/>
                                <w:szCs w:val="32"/>
                                <w:lang w:val="en-US" w:eastAsia="zh-CN"/>
                              </w:rPr>
                            </w:pPr>
                            <w:r>
                              <w:rPr>
                                <w:rFonts w:hint="eastAsia"/>
                                <w:sz w:val="24"/>
                                <w:szCs w:val="32"/>
                                <w:lang w:val="en-US" w:eastAsia="zh-CN"/>
                              </w:rPr>
                              <w:t>河道治理借方（3905.832</w:t>
                            </w:r>
                            <w:r>
                              <w:rPr>
                                <w:color w:val="auto"/>
                                <w:sz w:val="24"/>
                              </w:rPr>
                              <w:t>m³</w:t>
                            </w:r>
                            <w:r>
                              <w:rPr>
                                <w:rFonts w:hint="eastAsia"/>
                                <w:sz w:val="24"/>
                                <w:szCs w:val="32"/>
                                <w:lang w:val="en-US" w:eastAsia="zh-CN"/>
                              </w:rPr>
                              <w:t>）</w:t>
                            </w:r>
                          </w:p>
                        </w:txbxContent>
                      </v:textbox>
                    </v:shape>
                    <v:shape id="_x0000_s2131" o:spid="_x0000_s2131" o:spt="32" type="#_x0000_t32" style="position:absolute;left:7065;top:433996;flip:y;height:253;width:2040;" filled="f" stroked="t" coordsize="21600,21600">
                      <v:path arrowok="t"/>
                      <v:fill on="f" focussize="0,0"/>
                      <v:stroke color="#000000" endarrow="open"/>
                      <v:imagedata o:title=""/>
                      <o:lock v:ext="edit" aspectratio="f"/>
                    </v:shape>
                  </v:group>
                  <v:shape id="_x0000_s2132" o:spid="_x0000_s2132" o:spt="202" type="#_x0000_t202" style="position:absolute;left:9120;top:433696;height:525;width:2983;" filled="f" stroked="f" coordsize="21600,21600">
                    <v:path/>
                    <v:fill on="f" focussize="0,0"/>
                    <v:stroke on="f"/>
                    <v:imagedata o:title=""/>
                    <o:lock v:ext="edit" aspectratio="f"/>
                    <v:textbox>
                      <w:txbxContent>
                        <w:p>
                          <w:pPr>
                            <w:rPr>
                              <w:rFonts w:hint="default" w:eastAsia="宋体"/>
                              <w:sz w:val="24"/>
                              <w:szCs w:val="32"/>
                              <w:lang w:val="en-US" w:eastAsia="zh-CN"/>
                            </w:rPr>
                          </w:pPr>
                          <w:r>
                            <w:rPr>
                              <w:rFonts w:hint="eastAsia"/>
                              <w:sz w:val="24"/>
                              <w:szCs w:val="32"/>
                              <w:lang w:val="en-US" w:eastAsia="zh-CN"/>
                            </w:rPr>
                            <w:t>填方（9764.58</w:t>
                          </w:r>
                          <w:r>
                            <w:rPr>
                              <w:color w:val="auto"/>
                              <w:sz w:val="24"/>
                            </w:rPr>
                            <w:t>m³</w:t>
                          </w:r>
                          <w:r>
                            <w:rPr>
                              <w:rFonts w:hint="eastAsia"/>
                              <w:sz w:val="24"/>
                              <w:szCs w:val="32"/>
                              <w:lang w:val="en-US" w:eastAsia="zh-CN"/>
                            </w:rPr>
                            <w:t>）</w:t>
                          </w:r>
                        </w:p>
                      </w:txbxContent>
                    </v:textbox>
                  </v:shape>
                </v:group>
              </w:pict>
            </w:r>
          </w:p>
          <w:p>
            <w:pPr>
              <w:keepNext w:val="0"/>
              <w:keepLines w:val="0"/>
              <w:pageBreakBefore w:val="0"/>
              <w:kinsoku/>
              <w:wordWrap/>
              <w:overflowPunct/>
              <w:bidi w:val="0"/>
              <w:adjustRightInd w:val="0"/>
              <w:snapToGrid w:val="0"/>
              <w:spacing w:line="480" w:lineRule="exact"/>
              <w:ind w:firstLine="482" w:firstLineChars="200"/>
              <w:jc w:val="center"/>
              <w:rPr>
                <w:rFonts w:hint="default" w:ascii="Times New Roman" w:hAnsi="Times New Roman" w:eastAsia="宋体" w:cs="Times New Roman"/>
                <w:b/>
                <w:bCs/>
                <w:color w:val="auto"/>
                <w:sz w:val="24"/>
              </w:rPr>
            </w:pPr>
          </w:p>
          <w:p>
            <w:pPr>
              <w:keepNext w:val="0"/>
              <w:keepLines w:val="0"/>
              <w:pageBreakBefore w:val="0"/>
              <w:kinsoku/>
              <w:wordWrap/>
              <w:overflowPunct/>
              <w:bidi w:val="0"/>
              <w:adjustRightInd w:val="0"/>
              <w:snapToGrid w:val="0"/>
              <w:spacing w:line="480" w:lineRule="exact"/>
              <w:ind w:firstLine="482" w:firstLineChars="20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图7-1土方平衡图</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此外，建设单位应加强施工场地的废渣清理，及时洒水抑尘。本项目施工过程中产生的各类污染都是暂时的，随着施工过程的结束会消失。</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综上所述，按照上述环保措施，产生的固体废物能够得到妥善处置，对周围环境的影响不大。</w:t>
            </w:r>
          </w:p>
          <w:p>
            <w:pPr>
              <w:keepNext w:val="0"/>
              <w:keepLines w:val="0"/>
              <w:pageBreakBefore w:val="0"/>
              <w:kinsoku/>
              <w:wordWrap/>
              <w:overflowPunct/>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7.1.5施工期生态环境影响分析</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建设过程中对周围生态环境最为严重的影响主要为土壤侵蚀和水土流失。项目施工前生态现状为简单的农业生态系统，因施工活动导致地基开挖，部分植被破坏，产生的弃土如随意堆弃，会破坏地表植被和土壤结构，加剧水土流失，短时间内会对周围生态环境造成一定的影响。</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主要水土流失防治措施为：</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（1）在开挖建设中，应尽量避开雨季。</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（2）工程施工中做好土石方平衡工作。配套管网工程产生的弃土，应综合其他市政工程进行调配填方利用，以最大限度减少工程建设对生态环填造成的影响。</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（3）临时堆放场应选择较平整的场地，且场地使用后尽快恢复植被。</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（4）工程施工应分期分区进行，不要全面铺开以缩短单项工期。开挖的裸露面要有防治措施，尽量缩短暴露时间，减少水土流失。</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据现场调查，本项目建设区内无珍稀濒危植物种类，无国家重点保护野生植物种类及名木古树，且由于长期的人为活动，植被的原生性较差，同时随着区域绿化工程的建设，本项目建设对区域造成的生态影响可逐步恢复。</w:t>
            </w:r>
          </w:p>
          <w:p>
            <w:pPr>
              <w:keepNext w:val="0"/>
              <w:keepLines w:val="0"/>
              <w:pageBreakBefore w:val="0"/>
              <w:kinsoku/>
              <w:wordWrap/>
              <w:overflowPunct/>
              <w:bidi w:val="0"/>
              <w:spacing w:line="480" w:lineRule="exact"/>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7.1.6施工期环境管理</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项目在施工期应由建设单位与建筑施工单位签订环保责任合同，由施工单位负责场地环境管理，并接受当地环保部门监督、管理。</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环境管理工作应根据国家有关法律法规及地方环保部门的要求，建立一套环境污染控制管理方案，并利用其中的运行控制程序进行严格管理，以便做到文明施工、把对周围环境造成的污染影响降至最低。</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评价要求建设单位认真遵守</w:t>
            </w:r>
            <w:r>
              <w:rPr>
                <w:rFonts w:hint="default" w:ascii="Times New Roman" w:hAnsi="Times New Roman" w:eastAsia="宋体" w:cs="Times New Roman"/>
                <w:color w:val="auto"/>
                <w:sz w:val="24"/>
                <w:lang w:eastAsia="zh-CN"/>
              </w:rPr>
              <w:t>主管部门</w:t>
            </w:r>
            <w:r>
              <w:rPr>
                <w:rFonts w:hint="default" w:ascii="Times New Roman" w:hAnsi="Times New Roman" w:eastAsia="宋体" w:cs="Times New Roman"/>
                <w:color w:val="auto"/>
                <w:sz w:val="24"/>
              </w:rPr>
              <w:t>规定的环保要求，对施工现场做到以下要求：</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（1）实行好一系列监理制度，如工地会议制度、主要设备、材料见证取样、送样复试及报检制度、旁站监理制度、隐蔽工程验收制度、分项、分部工程质量检查制度、工程资料审核制度等。</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（2）采用跟踪监理与旁站监理相结合的手段，使工程施工处于受控状态。</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（3）主动做好事前控制工作（如审图、做好监理交底等），强化事中控制（如钢筋安装中的跟班检查等），积极采取事后控制措施（如工程质量缺陷的修整检查等），以保证工程施工质量和工程进度。</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（4）施工单位在施工期应有专人负责施工污染控制工作，实行项目经理责任制，负责实施和落实施工期的各项环保措施。</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（5）积极协助业主抓好施工进度，认真审阅施工进度计划，将实际施工进度及时与计划进度进行比较，督促提醒施工方抓紧施工进度。</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（6）仔细核实实际完成工程量，审核施工方工程款支付申请，控制工程造价。</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（7）对文明、安全施工进行检查、监督，协助施工方管理层对施工人员进行安全生产教育，提高施工人员的安全施工意识，做到安全施工。</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（8）施工期的监理应纳入项目工程施工监理计划之中。</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（9）若施工期在雨季时应注意施工区范围内水土流失的控制。</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（10）加强施工场地卫生、安全等方面的管理。</w:t>
            </w:r>
          </w:p>
          <w:p>
            <w:pPr>
              <w:pStyle w:val="95"/>
              <w:keepNext w:val="0"/>
              <w:keepLines w:val="0"/>
              <w:pageBreakBefore w:val="0"/>
              <w:kinsoku/>
              <w:wordWrap/>
              <w:overflowPunct/>
              <w:bidi w:val="0"/>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总之，建设单位必须加强工地管理工作，对施工人员除进行安全生产教育外，严格污染控制工作，降低对外环境的影响。</w:t>
            </w:r>
          </w:p>
          <w:p>
            <w:pPr>
              <w:keepNext w:val="0"/>
              <w:keepLines w:val="0"/>
              <w:pageBreakBefore w:val="0"/>
              <w:kinsoku/>
              <w:wordWrap/>
              <w:overflowPunct/>
              <w:bidi w:val="0"/>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7.2运营期环境影响分析</w:t>
            </w:r>
          </w:p>
          <w:p>
            <w:pPr>
              <w:keepNext w:val="0"/>
              <w:keepLines w:val="0"/>
              <w:pageBreakBefore w:val="0"/>
              <w:tabs>
                <w:tab w:val="left" w:pos="1959"/>
                <w:tab w:val="left" w:pos="2199"/>
                <w:tab w:val="left" w:pos="8399"/>
              </w:tabs>
              <w:kinsoku/>
              <w:wordWrap/>
              <w:overflowPunct/>
              <w:topLinePunct/>
              <w:bidi w:val="0"/>
              <w:adjustRightInd w:val="0"/>
              <w:spacing w:line="480" w:lineRule="exact"/>
              <w:ind w:firstLine="480" w:firstLineChars="200"/>
              <w:jc w:val="left"/>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营运期对环境的影响主要是污水站运行对环境的影响，工程正常运行所产生的污染问题主要体现在恶臭、生产废水、生活垃圾及设备噪声等方面，具体分析如下：</w:t>
            </w:r>
          </w:p>
          <w:p>
            <w:pPr>
              <w:keepNext w:val="0"/>
              <w:keepLines w:val="0"/>
              <w:pageBreakBefore w:val="0"/>
              <w:kinsoku/>
              <w:wordWrap/>
              <w:overflowPunct/>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7.2.1环境空气影响分析</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bookmarkStart w:id="5" w:name="_Toc530474406"/>
            <w:bookmarkStart w:id="6" w:name="_Toc408257044"/>
            <w:bookmarkStart w:id="7" w:name="_Toc408253072"/>
            <w:bookmarkStart w:id="8" w:name="_Toc19190861"/>
            <w:bookmarkStart w:id="9" w:name="_Toc36215129"/>
            <w:bookmarkStart w:id="10" w:name="_Toc20649747"/>
            <w:bookmarkStart w:id="11" w:name="_Toc408247923"/>
            <w:bookmarkStart w:id="12" w:name="_Toc408247638"/>
            <w:bookmarkStart w:id="13" w:name="_Toc39829608"/>
            <w:bookmarkStart w:id="14" w:name="_Toc530475809"/>
            <w:bookmarkStart w:id="15" w:name="_Toc408253615"/>
            <w:r>
              <w:rPr>
                <w:rFonts w:hint="default" w:ascii="Times New Roman" w:hAnsi="Times New Roman" w:eastAsia="宋体" w:cs="Times New Roman"/>
                <w:color w:val="auto"/>
                <w:sz w:val="24"/>
              </w:rPr>
              <w:t>7.2.1.1大气污染源</w:t>
            </w:r>
          </w:p>
          <w:p>
            <w:pPr>
              <w:keepNext w:val="0"/>
              <w:keepLines w:val="0"/>
              <w:pageBreakBefore w:val="0"/>
              <w:kinsoku/>
              <w:wordWrap/>
              <w:overflowPunct/>
              <w:bidi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G</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color w:val="auto"/>
                <w:sz w:val="24"/>
              </w:rPr>
              <w:t>：生活污水应急处理站恶臭气体</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本项目主要大气污染物为污水处理过程中散发出来的恶臭污染物，恶臭的主要成分为：H</w:t>
            </w:r>
            <w:r>
              <w:rPr>
                <w:rFonts w:hint="default" w:ascii="Times New Roman" w:hAnsi="Times New Roman" w:eastAsia="宋体" w:cs="Times New Roman"/>
                <w:color w:val="auto"/>
                <w:kern w:val="0"/>
                <w:sz w:val="24"/>
                <w:u w:color="000000"/>
                <w:vertAlign w:val="subscript"/>
              </w:rPr>
              <w:t>2</w:t>
            </w:r>
            <w:r>
              <w:rPr>
                <w:rFonts w:hint="default" w:ascii="Times New Roman" w:hAnsi="Times New Roman" w:eastAsia="宋体" w:cs="Times New Roman"/>
                <w:color w:val="auto"/>
                <w:kern w:val="0"/>
                <w:sz w:val="24"/>
                <w:u w:color="000000"/>
              </w:rPr>
              <w:t>S、NH</w:t>
            </w:r>
            <w:r>
              <w:rPr>
                <w:rFonts w:hint="default" w:ascii="Times New Roman" w:hAnsi="Times New Roman" w:eastAsia="宋体" w:cs="Times New Roman"/>
                <w:color w:val="auto"/>
                <w:kern w:val="0"/>
                <w:sz w:val="24"/>
                <w:u w:color="000000"/>
                <w:vertAlign w:val="subscript"/>
              </w:rPr>
              <w:t>3</w:t>
            </w:r>
            <w:r>
              <w:rPr>
                <w:rFonts w:hint="default" w:ascii="Times New Roman" w:hAnsi="Times New Roman" w:eastAsia="宋体" w:cs="Times New Roman"/>
                <w:color w:val="auto"/>
                <w:kern w:val="0"/>
                <w:sz w:val="24"/>
                <w:u w:color="000000"/>
              </w:rPr>
              <w:t>。</w:t>
            </w:r>
          </w:p>
          <w:p>
            <w:pPr>
              <w:keepNext w:val="0"/>
              <w:keepLines w:val="0"/>
              <w:pageBreakBefore w:val="0"/>
              <w:widowControl/>
              <w:kinsoku/>
              <w:wordWrap/>
              <w:overflowPunct/>
              <w:bidi w:val="0"/>
              <w:spacing w:line="480" w:lineRule="exact"/>
              <w:ind w:firstLine="480" w:firstLineChars="200"/>
              <w:jc w:val="left"/>
              <w:textAlignment w:val="baseline"/>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氨气是一种无色有强烈刺激气味的气体，嗅觉阈值为0.037ppm；硫化氢是一种有恶臭和毒性的无色气体，嗅觉阈值为0.0005ppm，具有臭鸡蛋味。</w:t>
            </w:r>
          </w:p>
          <w:p>
            <w:pPr>
              <w:keepNext w:val="0"/>
              <w:keepLines w:val="0"/>
              <w:pageBreakBefore w:val="0"/>
              <w:widowControl/>
              <w:kinsoku/>
              <w:wordWrap/>
              <w:overflowPunct/>
              <w:bidi w:val="0"/>
              <w:spacing w:line="480" w:lineRule="exact"/>
              <w:ind w:firstLine="480" w:firstLineChars="200"/>
              <w:jc w:val="left"/>
              <w:textAlignment w:val="baseline"/>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恶臭的主要排放部位在进水区的格栅</w:t>
            </w:r>
            <w:r>
              <w:rPr>
                <w:rFonts w:hint="default" w:ascii="Times New Roman" w:hAnsi="Times New Roman" w:eastAsia="宋体" w:cs="Times New Roman"/>
                <w:color w:val="auto"/>
                <w:kern w:val="0"/>
                <w:sz w:val="24"/>
                <w:u w:color="000000"/>
                <w:lang w:eastAsia="zh-CN"/>
              </w:rPr>
              <w:t>间</w:t>
            </w:r>
            <w:r>
              <w:rPr>
                <w:rFonts w:hint="default" w:ascii="Times New Roman" w:hAnsi="Times New Roman" w:eastAsia="宋体" w:cs="Times New Roman"/>
                <w:color w:val="auto"/>
                <w:kern w:val="0"/>
                <w:sz w:val="24"/>
                <w:u w:color="000000"/>
              </w:rPr>
              <w:t>、调节池、</w:t>
            </w:r>
            <w:r>
              <w:rPr>
                <w:rFonts w:hint="default" w:ascii="Times New Roman" w:hAnsi="Times New Roman" w:eastAsia="宋体" w:cs="Times New Roman"/>
                <w:color w:val="auto"/>
                <w:kern w:val="0"/>
                <w:sz w:val="24"/>
                <w:u w:color="000000"/>
                <w:lang w:eastAsia="zh-CN"/>
              </w:rPr>
              <w:t>压滤间、综合车间</w:t>
            </w:r>
            <w:r>
              <w:rPr>
                <w:rFonts w:hint="default" w:ascii="Times New Roman" w:hAnsi="Times New Roman" w:eastAsia="宋体" w:cs="Times New Roman"/>
                <w:color w:val="auto"/>
                <w:kern w:val="0"/>
                <w:sz w:val="24"/>
                <w:u w:color="000000"/>
              </w:rPr>
              <w:t>等。</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vertAlign w:val="baseline"/>
                <w:lang w:eastAsia="zh-CN"/>
              </w:rPr>
              <w:t>环评要求</w:t>
            </w:r>
            <w:r>
              <w:rPr>
                <w:rFonts w:hint="default" w:ascii="Times New Roman" w:hAnsi="Times New Roman" w:eastAsia="宋体" w:cs="Times New Roman"/>
                <w:color w:val="auto"/>
                <w:sz w:val="24"/>
                <w:szCs w:val="24"/>
                <w:lang w:eastAsia="zh-CN"/>
              </w:rPr>
              <w:t>格栅机、压滤机等设于建筑物内，设置排风机换气；各类池体均加盖处理；在综合车间的一体化设备内设置管道将</w:t>
            </w:r>
            <w:r>
              <w:rPr>
                <w:rFonts w:hint="default" w:ascii="Times New Roman" w:hAnsi="Times New Roman" w:eastAsia="宋体" w:cs="Times New Roman"/>
                <w:color w:val="auto"/>
                <w:sz w:val="24"/>
                <w:szCs w:val="24"/>
              </w:rPr>
              <w:t>臭气用</w:t>
            </w:r>
            <w:r>
              <w:rPr>
                <w:rFonts w:hint="default" w:ascii="Times New Roman" w:hAnsi="Times New Roman" w:eastAsia="宋体" w:cs="Times New Roman"/>
                <w:color w:val="auto"/>
                <w:sz w:val="24"/>
                <w:szCs w:val="24"/>
                <w:lang w:eastAsia="zh-CN"/>
              </w:rPr>
              <w:t>管道</w:t>
            </w:r>
            <w:r>
              <w:rPr>
                <w:rFonts w:hint="default" w:ascii="Times New Roman" w:hAnsi="Times New Roman" w:eastAsia="宋体" w:cs="Times New Roman"/>
                <w:color w:val="auto"/>
                <w:sz w:val="24"/>
                <w:szCs w:val="24"/>
              </w:rPr>
              <w:t>输送至</w:t>
            </w:r>
            <w:r>
              <w:rPr>
                <w:rFonts w:hint="default" w:ascii="Times New Roman" w:hAnsi="Times New Roman" w:eastAsia="宋体" w:cs="Times New Roman"/>
                <w:color w:val="auto"/>
                <w:sz w:val="24"/>
                <w:szCs w:val="24"/>
                <w:lang w:eastAsia="zh-CN"/>
              </w:rPr>
              <w:t>光氧活性炭一体机</w:t>
            </w:r>
            <w:r>
              <w:rPr>
                <w:rFonts w:hint="default" w:ascii="Times New Roman" w:hAnsi="Times New Roman" w:eastAsia="宋体" w:cs="Times New Roman"/>
                <w:color w:val="auto"/>
                <w:sz w:val="24"/>
                <w:szCs w:val="24"/>
              </w:rPr>
              <w:t>（风机风量</w:t>
            </w:r>
            <w:r>
              <w:rPr>
                <w:rFonts w:hint="default" w:ascii="Times New Roman" w:hAnsi="Times New Roman" w:eastAsia="宋体" w:cs="Times New Roman"/>
                <w:color w:val="auto"/>
                <w:sz w:val="24"/>
                <w:szCs w:val="24"/>
                <w:lang w:val="en-US" w:eastAsia="zh-CN"/>
              </w:rPr>
              <w:t>30000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处理后经</w:t>
            </w:r>
            <w:r>
              <w:rPr>
                <w:rFonts w:hint="default" w:ascii="Times New Roman" w:hAnsi="Times New Roman" w:eastAsia="宋体" w:cs="Times New Roman"/>
                <w:color w:val="auto"/>
                <w:sz w:val="24"/>
                <w:szCs w:val="24"/>
                <w:lang w:val="en-US" w:eastAsia="zh-CN"/>
              </w:rPr>
              <w:t>15m排气筒排放</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光氧活性炭一体机</w:t>
            </w:r>
            <w:r>
              <w:rPr>
                <w:rFonts w:hint="default" w:ascii="Times New Roman" w:hAnsi="Times New Roman" w:eastAsia="宋体" w:cs="Times New Roman"/>
                <w:color w:val="auto"/>
                <w:sz w:val="24"/>
                <w:szCs w:val="24"/>
              </w:rPr>
              <w:t>净化效率按70%计</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根据污水处理站经验数据统计，污水处理站各处理单元的恶臭污染物排污系数一般可通过单位时间内单位体积散发量表征，项目根据设计的构筑物面积估算污水处理站的废气源强。本项目恶臭污染物NH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和H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S产生源强表见表7-7。</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表7-7</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各单元恶臭污染物产生情况一览表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3"/>
              <w:gridCol w:w="2205"/>
              <w:gridCol w:w="900"/>
              <w:gridCol w:w="1245"/>
              <w:gridCol w:w="1320"/>
              <w:gridCol w:w="1544"/>
              <w:gridCol w:w="15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5" w:type="pct"/>
                  <w:gridSpan w:val="2"/>
                  <w:vMerge w:val="restar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污染源名称</w:t>
                  </w:r>
                </w:p>
              </w:tc>
              <w:tc>
                <w:tcPr>
                  <w:tcW w:w="492" w:type="pct"/>
                  <w:vMerge w:val="restar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面积</w:t>
                  </w:r>
                </w:p>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403" w:type="pct"/>
                  <w:gridSpan w:val="2"/>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产污系数（mg/s.㎡）</w:t>
                  </w:r>
                </w:p>
              </w:tc>
              <w:tc>
                <w:tcPr>
                  <w:tcW w:w="1698" w:type="pct"/>
                  <w:gridSpan w:val="2"/>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产生源强（kg/h）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5" w:type="pct"/>
                  <w:gridSpan w:val="2"/>
                  <w:vMerge w:val="continue"/>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sz w:val="21"/>
                      <w:szCs w:val="21"/>
                    </w:rPr>
                  </w:pPr>
                </w:p>
              </w:tc>
              <w:tc>
                <w:tcPr>
                  <w:tcW w:w="492" w:type="pct"/>
                  <w:vMerge w:val="continue"/>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p>
              </w:tc>
              <w:tc>
                <w:tcPr>
                  <w:tcW w:w="681"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p>
              </w:tc>
              <w:tc>
                <w:tcPr>
                  <w:tcW w:w="722"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H</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S</w:t>
                  </w:r>
                </w:p>
              </w:tc>
              <w:tc>
                <w:tcPr>
                  <w:tcW w:w="844"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p>
              </w:tc>
              <w:tc>
                <w:tcPr>
                  <w:tcW w:w="854"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H</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206" w:type="pct"/>
                  <w:tcBorders>
                    <w:tl2br w:val="nil"/>
                    <w:tr2bl w:val="nil"/>
                  </w:tcBorders>
                  <w:vAlign w:val="center"/>
                </w:tcPr>
                <w:p>
                  <w:pPr>
                    <w:pStyle w:val="31"/>
                    <w:autoSpaceDE w:val="0"/>
                    <w:autoSpaceDN w:val="0"/>
                    <w:spacing w:after="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u w:color="000000"/>
                      <w:lang w:eastAsia="zh-CN"/>
                    </w:rPr>
                    <w:t>综合车间一体化设备</w:t>
                  </w:r>
                </w:p>
              </w:tc>
              <w:tc>
                <w:tcPr>
                  <w:tcW w:w="900"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1785</w:t>
                  </w:r>
                </w:p>
              </w:tc>
              <w:tc>
                <w:tcPr>
                  <w:tcW w:w="1245"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3.0×10</w:t>
                  </w:r>
                  <w:r>
                    <w:rPr>
                      <w:rFonts w:hint="default" w:ascii="Times New Roman" w:hAnsi="Times New Roman" w:eastAsia="宋体" w:cs="Times New Roman"/>
                      <w:bCs/>
                      <w:color w:val="auto"/>
                      <w:kern w:val="0"/>
                      <w:sz w:val="21"/>
                      <w:szCs w:val="21"/>
                      <w:vertAlign w:val="superscript"/>
                    </w:rPr>
                    <w:t>-4</w:t>
                  </w:r>
                </w:p>
              </w:tc>
              <w:tc>
                <w:tcPr>
                  <w:tcW w:w="1320"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1.0×10</w:t>
                  </w:r>
                  <w:r>
                    <w:rPr>
                      <w:rFonts w:hint="default" w:ascii="Times New Roman" w:hAnsi="Times New Roman" w:eastAsia="宋体" w:cs="Times New Roman"/>
                      <w:bCs/>
                      <w:color w:val="auto"/>
                      <w:kern w:val="0"/>
                      <w:sz w:val="21"/>
                      <w:szCs w:val="21"/>
                      <w:vertAlign w:val="superscript"/>
                    </w:rPr>
                    <w:t>-5</w:t>
                  </w:r>
                </w:p>
              </w:tc>
              <w:tc>
                <w:tcPr>
                  <w:tcW w:w="154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0.0019278</w:t>
                  </w:r>
                </w:p>
              </w:tc>
              <w:tc>
                <w:tcPr>
                  <w:tcW w:w="15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0.00006426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5" w:type="pct"/>
                  <w:gridSpan w:val="2"/>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合计</w:t>
                  </w:r>
                </w:p>
              </w:tc>
              <w:tc>
                <w:tcPr>
                  <w:tcW w:w="492"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w:t>
                  </w:r>
                </w:p>
              </w:tc>
              <w:tc>
                <w:tcPr>
                  <w:tcW w:w="681"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w:t>
                  </w:r>
                </w:p>
              </w:tc>
              <w:tc>
                <w:tcPr>
                  <w:tcW w:w="722" w:type="pct"/>
                  <w:tcBorders>
                    <w:tl2br w:val="nil"/>
                    <w:tr2bl w:val="nil"/>
                  </w:tcBorders>
                  <w:vAlign w:val="center"/>
                </w:tcPr>
                <w:p>
                  <w:pPr>
                    <w:tabs>
                      <w:tab w:val="left" w:pos="277"/>
                      <w:tab w:val="left" w:pos="600"/>
                      <w:tab w:val="left" w:pos="780"/>
                      <w:tab w:val="left" w:pos="2517"/>
                    </w:tabs>
                    <w:adjustRightInd w:val="0"/>
                    <w:snapToGrid w:val="0"/>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w:t>
                  </w:r>
                </w:p>
              </w:tc>
              <w:tc>
                <w:tcPr>
                  <w:tcW w:w="1544" w:type="dxa"/>
                  <w:tcBorders>
                    <w:tl2br w:val="nil"/>
                    <w:tr2bl w:val="nil"/>
                  </w:tcBorders>
                  <w:vAlign w:val="center"/>
                </w:tcPr>
                <w:p>
                  <w:pPr>
                    <w:spacing w:line="240" w:lineRule="auto"/>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lang w:val="en-US" w:eastAsia="zh-CN"/>
                    </w:rPr>
                    <w:t>0.0019278</w:t>
                  </w:r>
                </w:p>
              </w:tc>
              <w:tc>
                <w:tcPr>
                  <w:tcW w:w="1561" w:type="dxa"/>
                  <w:tcBorders>
                    <w:tl2br w:val="nil"/>
                    <w:tr2bl w:val="nil"/>
                  </w:tcBorders>
                  <w:vAlign w:val="center"/>
                </w:tcPr>
                <w:p>
                  <w:pPr>
                    <w:spacing w:line="240" w:lineRule="auto"/>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lang w:val="en-US" w:eastAsia="zh-CN"/>
                    </w:rPr>
                    <w:t>0.00006426</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则本项目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产生量</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0.0019278</w:t>
            </w:r>
            <w:r>
              <w:rPr>
                <w:rFonts w:hint="default" w:ascii="Times New Roman" w:hAnsi="Times New Roman" w:eastAsia="宋体" w:cs="Times New Roman"/>
                <w:bCs/>
                <w:color w:val="auto"/>
                <w:kern w:val="0"/>
                <w:sz w:val="24"/>
                <w:szCs w:val="24"/>
                <w:lang w:val="en-US" w:eastAsia="zh-CN"/>
              </w:rPr>
              <w:t>kg/h÷1000×（365d×24h）≈0.02t/a；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浓度为：</w:t>
            </w:r>
            <w:r>
              <w:rPr>
                <w:rFonts w:hint="default" w:ascii="Times New Roman" w:hAnsi="Times New Roman" w:eastAsia="宋体" w:cs="Times New Roman"/>
                <w:bCs/>
                <w:color w:val="auto"/>
                <w:kern w:val="0"/>
                <w:sz w:val="24"/>
                <w:szCs w:val="24"/>
                <w:lang w:val="en-US" w:eastAsia="zh-CN"/>
              </w:rPr>
              <w:t>0.02t/a÷30000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bCs/>
                <w:color w:val="auto"/>
                <w:kern w:val="0"/>
                <w:sz w:val="24"/>
                <w:szCs w:val="24"/>
                <w:lang w:val="en-US" w:eastAsia="zh-CN"/>
              </w:rPr>
              <w:t>÷（365d×24h）×10</w:t>
            </w:r>
            <w:r>
              <w:rPr>
                <w:rFonts w:hint="default" w:ascii="Times New Roman" w:hAnsi="Times New Roman" w:eastAsia="宋体" w:cs="Times New Roman"/>
                <w:bCs/>
                <w:color w:val="auto"/>
                <w:kern w:val="0"/>
                <w:sz w:val="24"/>
                <w:szCs w:val="24"/>
                <w:vertAlign w:val="superscript"/>
                <w:lang w:val="en-US" w:eastAsia="zh-CN"/>
              </w:rPr>
              <w:t>9</w:t>
            </w:r>
            <w:r>
              <w:rPr>
                <w:rFonts w:hint="default" w:ascii="Times New Roman" w:hAnsi="Times New Roman" w:eastAsia="宋体" w:cs="Times New Roman"/>
                <w:bCs/>
                <w:color w:val="auto"/>
                <w:kern w:val="0"/>
                <w:sz w:val="24"/>
                <w:szCs w:val="24"/>
                <w:lang w:val="en-US" w:eastAsia="zh-CN"/>
              </w:rPr>
              <w:t>≈0.076mg/m³；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量</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bCs/>
                <w:color w:val="auto"/>
                <w:kern w:val="0"/>
                <w:sz w:val="24"/>
                <w:szCs w:val="24"/>
                <w:lang w:val="en-US" w:eastAsia="zh-CN"/>
              </w:rPr>
              <w:t>0.02t/a×（1-70%）=0.006t/a；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排放浓度为：</w:t>
            </w:r>
            <w:r>
              <w:rPr>
                <w:rFonts w:hint="default" w:ascii="Times New Roman" w:hAnsi="Times New Roman" w:eastAsia="宋体" w:cs="Times New Roman"/>
                <w:bCs/>
                <w:color w:val="auto"/>
                <w:kern w:val="0"/>
                <w:sz w:val="24"/>
                <w:szCs w:val="24"/>
                <w:lang w:val="en-US" w:eastAsia="zh-CN"/>
              </w:rPr>
              <w:t>0.006t/a÷30000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bCs/>
                <w:color w:val="auto"/>
                <w:kern w:val="0"/>
                <w:sz w:val="24"/>
                <w:szCs w:val="24"/>
                <w:lang w:val="en-US" w:eastAsia="zh-CN"/>
              </w:rPr>
              <w:t>÷（365d×24h）×10</w:t>
            </w:r>
            <w:r>
              <w:rPr>
                <w:rFonts w:hint="default" w:ascii="Times New Roman" w:hAnsi="Times New Roman" w:eastAsia="宋体" w:cs="Times New Roman"/>
                <w:bCs/>
                <w:color w:val="auto"/>
                <w:kern w:val="0"/>
                <w:sz w:val="24"/>
                <w:szCs w:val="24"/>
                <w:vertAlign w:val="superscript"/>
                <w:lang w:val="en-US" w:eastAsia="zh-CN"/>
              </w:rPr>
              <w:t>9</w:t>
            </w:r>
            <w:r>
              <w:rPr>
                <w:rFonts w:hint="default" w:ascii="Times New Roman" w:hAnsi="Times New Roman" w:eastAsia="宋体" w:cs="Times New Roman"/>
                <w:bCs/>
                <w:color w:val="auto"/>
                <w:kern w:val="0"/>
                <w:sz w:val="24"/>
                <w:szCs w:val="24"/>
                <w:lang w:val="en-US" w:eastAsia="zh-CN"/>
              </w:rPr>
              <w:t>≈0.02mg/m³；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排放速率为：</w:t>
            </w:r>
            <w:r>
              <w:rPr>
                <w:rFonts w:hint="default" w:ascii="Times New Roman" w:hAnsi="Times New Roman" w:eastAsia="宋体" w:cs="Times New Roman"/>
                <w:bCs/>
                <w:color w:val="auto"/>
                <w:kern w:val="0"/>
                <w:sz w:val="24"/>
                <w:szCs w:val="24"/>
                <w:lang w:val="en-US" w:eastAsia="zh-CN"/>
              </w:rPr>
              <w:t>0.006t/a÷（365d×24h）×1000≈0.00068kg/h；</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S产生量</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0.00006426</w:t>
            </w:r>
            <w:r>
              <w:rPr>
                <w:rFonts w:hint="default" w:ascii="Times New Roman" w:hAnsi="Times New Roman" w:eastAsia="宋体" w:cs="Times New Roman"/>
                <w:bCs/>
                <w:color w:val="auto"/>
                <w:kern w:val="0"/>
                <w:sz w:val="24"/>
                <w:szCs w:val="24"/>
                <w:lang w:val="en-US" w:eastAsia="zh-CN"/>
              </w:rPr>
              <w:t>kg/h÷1000×（365d×24h）≈0.00056t/a；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S产生</w:t>
            </w:r>
            <w:r>
              <w:rPr>
                <w:rFonts w:hint="default" w:ascii="Times New Roman" w:hAnsi="Times New Roman" w:eastAsia="宋体" w:cs="Times New Roman"/>
                <w:color w:val="auto"/>
                <w:sz w:val="24"/>
                <w:szCs w:val="24"/>
                <w:lang w:eastAsia="zh-CN"/>
              </w:rPr>
              <w:t>浓度为：</w:t>
            </w:r>
            <w:r>
              <w:rPr>
                <w:rFonts w:hint="default" w:ascii="Times New Roman" w:hAnsi="Times New Roman" w:eastAsia="宋体" w:cs="Times New Roman"/>
                <w:color w:val="auto"/>
                <w:sz w:val="24"/>
                <w:szCs w:val="24"/>
                <w:lang w:val="en-US" w:eastAsia="zh-CN"/>
              </w:rPr>
              <w:t>0.00056</w:t>
            </w:r>
            <w:r>
              <w:rPr>
                <w:rFonts w:hint="default" w:ascii="Times New Roman" w:hAnsi="Times New Roman" w:eastAsia="宋体" w:cs="Times New Roman"/>
                <w:bCs/>
                <w:color w:val="auto"/>
                <w:kern w:val="0"/>
                <w:sz w:val="24"/>
                <w:szCs w:val="24"/>
                <w:lang w:val="en-US" w:eastAsia="zh-CN"/>
              </w:rPr>
              <w:t>t/a÷30000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bCs/>
                <w:color w:val="auto"/>
                <w:kern w:val="0"/>
                <w:sz w:val="24"/>
                <w:szCs w:val="24"/>
                <w:lang w:val="en-US" w:eastAsia="zh-CN"/>
              </w:rPr>
              <w:t>÷（365d×24h）×10</w:t>
            </w:r>
            <w:r>
              <w:rPr>
                <w:rFonts w:hint="default" w:ascii="Times New Roman" w:hAnsi="Times New Roman" w:eastAsia="宋体" w:cs="Times New Roman"/>
                <w:bCs/>
                <w:color w:val="auto"/>
                <w:kern w:val="0"/>
                <w:sz w:val="24"/>
                <w:szCs w:val="24"/>
                <w:vertAlign w:val="superscript"/>
                <w:lang w:val="en-US" w:eastAsia="zh-CN"/>
              </w:rPr>
              <w:t>9</w:t>
            </w:r>
            <w:r>
              <w:rPr>
                <w:rFonts w:hint="default" w:ascii="Times New Roman" w:hAnsi="Times New Roman" w:eastAsia="宋体" w:cs="Times New Roman"/>
                <w:bCs/>
                <w:color w:val="auto"/>
                <w:kern w:val="0"/>
                <w:sz w:val="24"/>
                <w:szCs w:val="24"/>
                <w:lang w:val="en-US" w:eastAsia="zh-CN"/>
              </w:rPr>
              <w:t>≈0.002mg/m³；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量</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bCs/>
                <w:color w:val="auto"/>
                <w:kern w:val="0"/>
                <w:sz w:val="24"/>
                <w:szCs w:val="24"/>
                <w:lang w:val="en-US" w:eastAsia="zh-CN"/>
              </w:rPr>
              <w:t>0.00056t/a×（1-70%）≈0.000168t/a；</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lang w:eastAsia="zh-CN"/>
              </w:rPr>
              <w:t>排放浓度为：</w:t>
            </w:r>
            <w:r>
              <w:rPr>
                <w:rFonts w:hint="default" w:ascii="Times New Roman" w:hAnsi="Times New Roman" w:eastAsia="宋体" w:cs="Times New Roman"/>
                <w:bCs/>
                <w:color w:val="auto"/>
                <w:kern w:val="0"/>
                <w:sz w:val="24"/>
                <w:szCs w:val="24"/>
                <w:lang w:val="en-US" w:eastAsia="zh-CN"/>
              </w:rPr>
              <w:t>0.000168t/a÷30000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bCs/>
                <w:color w:val="auto"/>
                <w:kern w:val="0"/>
                <w:sz w:val="24"/>
                <w:szCs w:val="24"/>
                <w:lang w:val="en-US" w:eastAsia="zh-CN"/>
              </w:rPr>
              <w:t>÷（365d×24h）×10</w:t>
            </w:r>
            <w:r>
              <w:rPr>
                <w:rFonts w:hint="default" w:ascii="Times New Roman" w:hAnsi="Times New Roman" w:eastAsia="宋体" w:cs="Times New Roman"/>
                <w:bCs/>
                <w:color w:val="auto"/>
                <w:kern w:val="0"/>
                <w:sz w:val="24"/>
                <w:szCs w:val="24"/>
                <w:vertAlign w:val="superscript"/>
                <w:lang w:val="en-US" w:eastAsia="zh-CN"/>
              </w:rPr>
              <w:t>9</w:t>
            </w:r>
            <w:r>
              <w:rPr>
                <w:rFonts w:hint="default" w:ascii="Times New Roman" w:hAnsi="Times New Roman" w:eastAsia="宋体" w:cs="Times New Roman"/>
                <w:bCs/>
                <w:color w:val="auto"/>
                <w:kern w:val="0"/>
                <w:sz w:val="24"/>
                <w:szCs w:val="24"/>
                <w:lang w:val="en-US" w:eastAsia="zh-CN"/>
              </w:rPr>
              <w:t>≈0.00064mg/m³；</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lang w:eastAsia="zh-CN"/>
              </w:rPr>
              <w:t>排放速率为：</w:t>
            </w:r>
            <w:r>
              <w:rPr>
                <w:rFonts w:hint="default" w:ascii="Times New Roman" w:hAnsi="Times New Roman" w:eastAsia="宋体" w:cs="Times New Roman"/>
                <w:color w:val="auto"/>
                <w:sz w:val="24"/>
                <w:szCs w:val="24"/>
                <w:lang w:val="en-US" w:eastAsia="zh-CN"/>
              </w:rPr>
              <w:t>0.000168</w:t>
            </w:r>
            <w:r>
              <w:rPr>
                <w:rFonts w:hint="default" w:ascii="Times New Roman" w:hAnsi="Times New Roman" w:eastAsia="宋体" w:cs="Times New Roman"/>
                <w:bCs/>
                <w:color w:val="auto"/>
                <w:kern w:val="0"/>
                <w:sz w:val="24"/>
                <w:szCs w:val="24"/>
                <w:lang w:val="en-US" w:eastAsia="zh-CN"/>
              </w:rPr>
              <w:t>t/a÷（365d×24h）×1000≈0.00002kg/h；</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kern w:val="0"/>
                <w:sz w:val="24"/>
                <w:szCs w:val="24"/>
                <w:u w:color="000000"/>
              </w:rPr>
            </w:pPr>
            <w:r>
              <w:rPr>
                <w:rFonts w:hint="default" w:ascii="Times New Roman" w:hAnsi="Times New Roman" w:eastAsia="宋体" w:cs="Times New Roman"/>
                <w:color w:val="auto"/>
                <w:sz w:val="24"/>
                <w:szCs w:val="24"/>
              </w:rPr>
              <w:t>则恶臭污染物NH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的排放量为</w:t>
            </w:r>
            <w:r>
              <w:rPr>
                <w:rFonts w:hint="default" w:ascii="Times New Roman" w:hAnsi="Times New Roman" w:eastAsia="宋体" w:cs="Times New Roman"/>
                <w:bCs/>
                <w:color w:val="auto"/>
                <w:kern w:val="0"/>
                <w:sz w:val="24"/>
                <w:szCs w:val="24"/>
                <w:lang w:val="en-US" w:eastAsia="zh-CN"/>
              </w:rPr>
              <w:t>0.006</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，排放浓度为</w:t>
            </w:r>
            <w:r>
              <w:rPr>
                <w:rFonts w:hint="default" w:ascii="Times New Roman" w:hAnsi="Times New Roman" w:eastAsia="宋体" w:cs="Times New Roman"/>
                <w:bCs/>
                <w:color w:val="auto"/>
                <w:kern w:val="0"/>
                <w:sz w:val="24"/>
                <w:szCs w:val="24"/>
                <w:lang w:val="en-US" w:eastAsia="zh-CN"/>
              </w:rPr>
              <w:t>0.02mg/m³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S的排放量为</w:t>
            </w:r>
            <w:r>
              <w:rPr>
                <w:rFonts w:hint="default" w:ascii="Times New Roman" w:hAnsi="Times New Roman" w:eastAsia="宋体" w:cs="Times New Roman"/>
                <w:bCs/>
                <w:color w:val="auto"/>
                <w:kern w:val="0"/>
                <w:sz w:val="24"/>
                <w:szCs w:val="24"/>
                <w:lang w:val="en-US" w:eastAsia="zh-CN"/>
              </w:rPr>
              <w:t>0.000168</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，排放浓度为</w:t>
            </w:r>
            <w:r>
              <w:rPr>
                <w:rFonts w:hint="default" w:ascii="Times New Roman" w:hAnsi="Times New Roman" w:eastAsia="宋体" w:cs="Times New Roman"/>
                <w:bCs/>
                <w:color w:val="auto"/>
                <w:kern w:val="0"/>
                <w:sz w:val="24"/>
                <w:szCs w:val="24"/>
                <w:lang w:val="en-US" w:eastAsia="zh-CN"/>
              </w:rPr>
              <w:t>0.00064mg/m³</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氨、硫化氢排放满足</w:t>
            </w:r>
            <w:r>
              <w:rPr>
                <w:rFonts w:hint="default" w:ascii="Times New Roman" w:hAnsi="Times New Roman" w:eastAsia="宋体" w:cs="Times New Roman"/>
                <w:color w:val="auto"/>
                <w:sz w:val="24"/>
                <w:szCs w:val="24"/>
                <w:lang w:eastAsia="zh-CN"/>
              </w:rPr>
              <w:t>《城镇污水处理站污染物排放标准》</w:t>
            </w:r>
            <w:r>
              <w:rPr>
                <w:rFonts w:hint="default" w:ascii="Times New Roman" w:hAnsi="Times New Roman" w:eastAsia="宋体" w:cs="Times New Roman"/>
                <w:color w:val="auto"/>
                <w:sz w:val="24"/>
                <w:szCs w:val="24"/>
              </w:rPr>
              <w:t>（GB18918-2002）表4中的二级标准</w:t>
            </w:r>
            <w:r>
              <w:rPr>
                <w:rFonts w:hint="default" w:ascii="Times New Roman" w:hAnsi="Times New Roman" w:eastAsia="宋体" w:cs="Times New Roman"/>
                <w:color w:val="auto"/>
                <w:sz w:val="24"/>
                <w:szCs w:val="24"/>
                <w:lang w:eastAsia="zh-CN"/>
              </w:rPr>
              <w:t>，即氨：</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bCs/>
                <w:color w:val="auto"/>
                <w:kern w:val="0"/>
                <w:sz w:val="24"/>
                <w:szCs w:val="24"/>
                <w:lang w:val="en-US" w:eastAsia="zh-CN"/>
              </w:rPr>
              <w:t>mg/m³</w:t>
            </w:r>
            <w:r>
              <w:rPr>
                <w:rFonts w:hint="default" w:ascii="Times New Roman" w:hAnsi="Times New Roman" w:eastAsia="宋体" w:cs="Times New Roman"/>
                <w:color w:val="auto"/>
                <w:sz w:val="24"/>
                <w:szCs w:val="24"/>
                <w:lang w:val="en-US" w:eastAsia="zh-CN"/>
              </w:rPr>
              <w:t>；硫化氢：0.06</w:t>
            </w:r>
            <w:r>
              <w:rPr>
                <w:rFonts w:hint="default" w:ascii="Times New Roman" w:hAnsi="Times New Roman" w:eastAsia="宋体" w:cs="Times New Roman"/>
                <w:bCs/>
                <w:color w:val="auto"/>
                <w:kern w:val="0"/>
                <w:sz w:val="24"/>
                <w:szCs w:val="24"/>
                <w:lang w:val="en-US" w:eastAsia="zh-CN"/>
              </w:rPr>
              <w:t>mg/m³</w:t>
            </w:r>
            <w:r>
              <w:rPr>
                <w:rFonts w:hint="default" w:ascii="Times New Roman" w:hAnsi="Times New Roman" w:eastAsia="宋体" w:cs="Times New Roman"/>
                <w:color w:val="auto"/>
                <w:kern w:val="0"/>
                <w:sz w:val="24"/>
                <w:szCs w:val="24"/>
                <w:u w:color="000000"/>
              </w:rPr>
              <w:t>。</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kern w:val="0"/>
                <w:sz w:val="24"/>
                <w:szCs w:val="24"/>
                <w:u w:color="000000"/>
              </w:rPr>
            </w:pPr>
            <w:r>
              <w:rPr>
                <w:rFonts w:hint="default" w:ascii="Times New Roman" w:hAnsi="Times New Roman" w:eastAsia="宋体" w:cs="Times New Roman"/>
                <w:color w:val="auto"/>
                <w:kern w:val="0"/>
                <w:sz w:val="24"/>
                <w:szCs w:val="24"/>
                <w:u w:color="000000"/>
              </w:rPr>
              <w:t>类比同类污水处理站，臭气浓度产生量约为2000无量纲，经治理后臭气浓度约为15无量纲，满足</w:t>
            </w:r>
            <w:r>
              <w:rPr>
                <w:rFonts w:hint="default" w:ascii="Times New Roman" w:hAnsi="Times New Roman" w:eastAsia="宋体" w:cs="Times New Roman"/>
                <w:color w:val="auto"/>
                <w:sz w:val="24"/>
                <w:szCs w:val="24"/>
                <w:lang w:eastAsia="zh-CN"/>
              </w:rPr>
              <w:t>《城镇污水处理站污染物排放标准》</w:t>
            </w:r>
            <w:r>
              <w:rPr>
                <w:rFonts w:hint="default" w:ascii="Times New Roman" w:hAnsi="Times New Roman" w:eastAsia="宋体" w:cs="Times New Roman"/>
                <w:color w:val="auto"/>
                <w:sz w:val="24"/>
                <w:szCs w:val="24"/>
              </w:rPr>
              <w:t>（GB18918-2002）表4中的二级标准</w:t>
            </w:r>
            <w:r>
              <w:rPr>
                <w:rFonts w:hint="default" w:ascii="Times New Roman" w:hAnsi="Times New Roman" w:eastAsia="宋体" w:cs="Times New Roman"/>
                <w:color w:val="auto"/>
                <w:sz w:val="24"/>
                <w:szCs w:val="24"/>
                <w:lang w:eastAsia="zh-CN"/>
              </w:rPr>
              <w:t>，即臭气强度</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kern w:val="0"/>
                <w:sz w:val="24"/>
                <w:szCs w:val="24"/>
              </w:rPr>
              <w:t>无量纲</w:t>
            </w:r>
            <w:r>
              <w:rPr>
                <w:rFonts w:hint="default" w:ascii="Times New Roman" w:hAnsi="Times New Roman" w:eastAsia="宋体" w:cs="Times New Roman"/>
                <w:color w:val="auto"/>
                <w:kern w:val="0"/>
                <w:sz w:val="24"/>
                <w:szCs w:val="24"/>
                <w:u w:color="000000"/>
              </w:rPr>
              <w:t>。</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bCs/>
                <w:color w:val="auto"/>
                <w:kern w:val="44"/>
                <w:sz w:val="24"/>
                <w:szCs w:val="24"/>
              </w:rPr>
            </w:pPr>
            <w:r>
              <w:rPr>
                <w:rFonts w:hint="default" w:ascii="Times New Roman" w:hAnsi="Times New Roman" w:eastAsia="宋体" w:cs="Times New Roman"/>
                <w:bCs/>
                <w:color w:val="auto"/>
                <w:kern w:val="44"/>
                <w:sz w:val="24"/>
                <w:szCs w:val="24"/>
              </w:rPr>
              <w:t>7.2.1.2大气污染防治措施</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污水处理过程产生的恶臭气</w:t>
            </w:r>
            <w:r>
              <w:rPr>
                <w:rFonts w:hint="default" w:ascii="Times New Roman" w:hAnsi="Times New Roman" w:eastAsia="宋体" w:cs="Times New Roman"/>
                <w:color w:val="auto"/>
                <w:sz w:val="24"/>
                <w:szCs w:val="24"/>
              </w:rPr>
              <w:t>味，污水处理厂的恶臭逸出量受污水量、污泥量、污水中溶解氧量、污泥稳定程度、污泥堆存方式及数量、日照、气温、湿度、风速等多种因素影响。恶臭物质扩散有两种形式的衰减，一种是三维空间的物理衰减，另一种是恶臭物质在日照、紫外线等作用下经过一定时间的化学衰减。</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本次项目从总图布置、运行管理、绿化等方面采取防治措施：</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①合理布局。项目在在总体布置上，进行了功能区划分，把管理区和生产区用绿化带隔离，并将生产区布置于主导风向的下风向。</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kern w:val="44"/>
                <w:sz w:val="24"/>
                <w:szCs w:val="24"/>
              </w:rPr>
            </w:pPr>
            <w:r>
              <w:rPr>
                <w:rFonts w:hint="default" w:ascii="Times New Roman" w:hAnsi="Times New Roman" w:eastAsia="宋体" w:cs="Times New Roman"/>
                <w:color w:val="auto"/>
                <w:sz w:val="24"/>
                <w:szCs w:val="24"/>
              </w:rPr>
              <w:t>②加强绿化。生产区</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szCs w:val="24"/>
              </w:rPr>
              <w:t>广种树木、花草，使</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szCs w:val="24"/>
              </w:rPr>
              <w:t>绿化率不低于30%。</w:t>
            </w:r>
            <w:r>
              <w:rPr>
                <w:rFonts w:hint="default" w:ascii="Times New Roman" w:hAnsi="Times New Roman" w:eastAsia="宋体" w:cs="Times New Roman"/>
                <w:color w:val="auto"/>
                <w:kern w:val="44"/>
                <w:sz w:val="24"/>
                <w:szCs w:val="24"/>
              </w:rPr>
              <w:t>合理选择绿化树木、花卉等品种，乔灌木结合，树木、花卉、草坪结合，多选用常绿品种起到美化、净化作用。在厂外种植20m绿化隔离带。</w:t>
            </w:r>
            <w:r>
              <w:rPr>
                <w:rFonts w:hint="default" w:ascii="Times New Roman" w:hAnsi="Times New Roman" w:eastAsia="宋体" w:cs="Times New Roman"/>
                <w:color w:val="auto"/>
                <w:kern w:val="0"/>
                <w:sz w:val="24"/>
                <w:lang w:eastAsia="zh-CN"/>
              </w:rPr>
              <w:t>站内站内</w:t>
            </w:r>
            <w:r>
              <w:rPr>
                <w:rFonts w:hint="default" w:ascii="Times New Roman" w:hAnsi="Times New Roman" w:eastAsia="宋体" w:cs="Times New Roman"/>
                <w:color w:val="auto"/>
                <w:kern w:val="44"/>
                <w:sz w:val="24"/>
                <w:szCs w:val="24"/>
              </w:rPr>
              <w:t>有机结合，阻止恶臭气体的扩散，尽量吸附有害气体，净化</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kern w:val="44"/>
                <w:sz w:val="24"/>
                <w:szCs w:val="24"/>
              </w:rPr>
              <w:t>及周围环境空气。</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③加强管理。 在运行操作中要加强管理，控制污泥发酵。污泥储池平时应注意加盖，防止臭气外逸。</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④污泥处理设施设在非完全敞开式的建筑内，产生的污泥应及时外运，尽量减少污泥在</w:t>
            </w:r>
            <w:r>
              <w:rPr>
                <w:rFonts w:hint="default" w:ascii="Times New Roman" w:hAnsi="Times New Roman" w:eastAsia="宋体" w:cs="Times New Roman"/>
                <w:color w:val="auto"/>
                <w:kern w:val="0"/>
                <w:sz w:val="24"/>
                <w:lang w:eastAsia="zh-CN"/>
              </w:rPr>
              <w:t>站内</w:t>
            </w:r>
            <w:r>
              <w:rPr>
                <w:rFonts w:hint="default" w:ascii="Times New Roman" w:hAnsi="Times New Roman" w:eastAsia="宋体" w:cs="Times New Roman"/>
                <w:color w:val="auto"/>
                <w:sz w:val="24"/>
                <w:szCs w:val="24"/>
              </w:rPr>
              <w:t>的堆存量和堆存时间。</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⑤定期清洗污泥脱水机。粗细格栅所截留的栅渣及时清运，清洗污渍。</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⑥在各种池子停产修理时，池底积泥暴露会散发臭气，应采取及时清除积泥的措施来防止臭气的影响。</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⑦污泥产生的不良气味对操作工人产生一定的影响，要采用排风机进行换气，换气次数不少于8次/min</w:t>
            </w:r>
            <w:r>
              <w:rPr>
                <w:rFonts w:hint="default" w:ascii="Times New Roman" w:hAnsi="Times New Roman" w:eastAsia="宋体" w:cs="Times New Roman"/>
                <w:color w:val="auto"/>
                <w:sz w:val="24"/>
                <w:szCs w:val="24"/>
                <w:lang w:eastAsia="zh-CN"/>
              </w:rPr>
              <w:t>，采用光氧废气净化法除臭</w:t>
            </w:r>
            <w:r>
              <w:rPr>
                <w:rFonts w:hint="default" w:ascii="Times New Roman" w:hAnsi="Times New Roman" w:eastAsia="宋体" w:cs="Times New Roman"/>
                <w:color w:val="auto"/>
                <w:sz w:val="24"/>
                <w:szCs w:val="24"/>
                <w:shd w:val="clear" w:color="auto" w:fill="auto"/>
              </w:rPr>
              <w:t>。</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7.2.1.3大气影响预测</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（1）评价等级判定</w:t>
            </w:r>
          </w:p>
          <w:p>
            <w:pPr>
              <w:pStyle w:val="2"/>
              <w:keepNext w:val="0"/>
              <w:keepLines w:val="0"/>
              <w:pageBreakBefore w:val="0"/>
              <w:tabs>
                <w:tab w:val="left" w:pos="7500"/>
              </w:tabs>
              <w:kinsoku/>
              <w:wordWrap/>
              <w:overflowPunct/>
              <w:topLinePunct w:val="0"/>
              <w:autoSpaceDE/>
              <w:autoSpaceDN/>
              <w:bidi w:val="0"/>
              <w:spacing w:after="0" w:line="480" w:lineRule="exact"/>
              <w:ind w:left="0" w:leftChars="0" w:firstLine="48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pStyle w:val="2"/>
              <w:keepNext w:val="0"/>
              <w:keepLines w:val="0"/>
              <w:pageBreakBefore w:val="0"/>
              <w:tabs>
                <w:tab w:val="left" w:pos="7500"/>
              </w:tabs>
              <w:kinsoku/>
              <w:wordWrap/>
              <w:overflowPunct/>
              <w:topLinePunct w:val="0"/>
              <w:autoSpaceDE/>
              <w:autoSpaceDN/>
              <w:bidi w:val="0"/>
              <w:spacing w:after="0" w:line="480" w:lineRule="exact"/>
              <w:ind w:left="0" w:leftChars="0" w:firstLine="48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①Pmax及D10%的确定</w:t>
            </w:r>
          </w:p>
          <w:p>
            <w:pPr>
              <w:pStyle w:val="2"/>
              <w:keepNext w:val="0"/>
              <w:keepLines w:val="0"/>
              <w:pageBreakBefore w:val="0"/>
              <w:tabs>
                <w:tab w:val="left" w:pos="7500"/>
              </w:tabs>
              <w:kinsoku/>
              <w:wordWrap/>
              <w:overflowPunct/>
              <w:topLinePunct w:val="0"/>
              <w:autoSpaceDE/>
              <w:autoSpaceDN/>
              <w:bidi w:val="0"/>
              <w:spacing w:after="0" w:line="480" w:lineRule="exact"/>
              <w:ind w:left="0" w:leftChars="0" w:firstLine="48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依据《环境影响评价技术导则 大气环境》（HJ2.2-2008）中最大地面浓度占标率Pi定义如下：</w:t>
            </w:r>
          </w:p>
          <w:p>
            <w:pPr>
              <w:pStyle w:val="2"/>
              <w:keepNext w:val="0"/>
              <w:keepLines w:val="0"/>
              <w:pageBreakBefore w:val="0"/>
              <w:tabs>
                <w:tab w:val="left" w:pos="7500"/>
              </w:tabs>
              <w:kinsoku/>
              <w:wordWrap/>
              <w:overflowPunct/>
              <w:topLinePunct w:val="0"/>
              <w:autoSpaceDE/>
              <w:autoSpaceDN/>
              <w:bidi w:val="0"/>
              <w:spacing w:after="0" w:line="480" w:lineRule="exact"/>
              <w:ind w:left="0" w:leftChars="0" w:firstLine="480"/>
              <w:jc w:val="left"/>
              <w:rPr>
                <w:rFonts w:hint="default" w:ascii="Times New Roman" w:hAnsi="Times New Roman" w:eastAsia="宋体" w:cs="Times New Roman"/>
                <w:bCs/>
                <w:color w:val="auto"/>
                <w:sz w:val="24"/>
                <w:szCs w:val="24"/>
              </w:rPr>
            </w:pPr>
            <m:oMathPara>
              <m:oMath>
                <m:sSub>
                  <m:sSubPr>
                    <m:ctrlPr>
                      <w:rPr>
                        <w:rFonts w:hint="default" w:ascii="Cambria Math" w:hAnsi="Cambria Math" w:eastAsia="宋体" w:cs="Times New Roman"/>
                        <w:color w:val="auto"/>
                        <w:sz w:val="24"/>
                        <w:szCs w:val="24"/>
                      </w:rPr>
                    </m:ctrlPr>
                  </m:sSubPr>
                  <m:e>
                    <m:r>
                      <m:rPr/>
                      <w:rPr>
                        <w:rFonts w:hint="default" w:ascii="Cambria Math" w:hAnsi="Cambria Math" w:eastAsia="宋体" w:cs="Times New Roman"/>
                        <w:color w:val="auto"/>
                        <w:sz w:val="24"/>
                        <w:szCs w:val="24"/>
                      </w:rPr>
                      <m:t>P</m:t>
                    </m:r>
                    <m:ctrlPr>
                      <w:rPr>
                        <w:rFonts w:hint="default" w:ascii="Cambria Math" w:hAnsi="Cambria Math" w:eastAsia="宋体" w:cs="Times New Roman"/>
                        <w:color w:val="auto"/>
                        <w:sz w:val="24"/>
                        <w:szCs w:val="24"/>
                      </w:rPr>
                    </m:ctrlPr>
                  </m:e>
                  <m:sub>
                    <m:r>
                      <m:rPr/>
                      <w:rPr>
                        <w:rFonts w:hint="default" w:ascii="Cambria Math" w:hAnsi="Cambria Math" w:eastAsia="宋体" w:cs="Times New Roman"/>
                        <w:color w:val="auto"/>
                        <w:sz w:val="24"/>
                        <w:szCs w:val="24"/>
                      </w:rPr>
                      <m:t>i</m:t>
                    </m:r>
                    <m:ctrlPr>
                      <w:rPr>
                        <w:rFonts w:hint="default" w:ascii="Cambria Math" w:hAnsi="Cambria Math" w:eastAsia="宋体" w:cs="Times New Roman"/>
                        <w:color w:val="auto"/>
                        <w:sz w:val="24"/>
                        <w:szCs w:val="24"/>
                      </w:rPr>
                    </m:ctrlPr>
                  </m:sub>
                </m:sSub>
                <m:r>
                  <m:rPr>
                    <m:sty m:val="p"/>
                  </m:rPr>
                  <w:rPr>
                    <w:rFonts w:hint="default" w:ascii="Cambria Math" w:hAnsi="Cambria Math" w:eastAsia="宋体" w:cs="Times New Roman"/>
                    <w:color w:val="auto"/>
                    <w:sz w:val="24"/>
                    <w:szCs w:val="24"/>
                  </w:rPr>
                  <m:t>=</m:t>
                </m:r>
                <m:f>
                  <m:fPr>
                    <m:ctrlPr>
                      <w:rPr>
                        <w:rFonts w:hint="default" w:ascii="Cambria Math" w:hAnsi="Cambria Math" w:eastAsia="宋体" w:cs="Times New Roman"/>
                        <w:color w:val="auto"/>
                        <w:sz w:val="24"/>
                        <w:szCs w:val="24"/>
                      </w:rPr>
                    </m:ctrlPr>
                  </m:fPr>
                  <m:num>
                    <m:sSub>
                      <m:sSubPr>
                        <m:ctrlPr>
                          <w:rPr>
                            <w:rFonts w:hint="default" w:ascii="Cambria Math" w:hAnsi="Cambria Math" w:eastAsia="宋体" w:cs="Times New Roman"/>
                            <w:i/>
                            <w:color w:val="auto"/>
                            <w:sz w:val="24"/>
                            <w:szCs w:val="24"/>
                          </w:rPr>
                        </m:ctrlPr>
                      </m:sSubPr>
                      <m:e>
                        <m:r>
                          <m:rPr/>
                          <w:rPr>
                            <w:rFonts w:hint="default" w:ascii="Cambria Math" w:hAnsi="Cambria Math" w:eastAsia="宋体" w:cs="Times New Roman"/>
                            <w:color w:val="auto"/>
                            <w:sz w:val="24"/>
                            <w:szCs w:val="24"/>
                          </w:rPr>
                          <m:t>C</m:t>
                        </m:r>
                        <m:ctrlPr>
                          <w:rPr>
                            <w:rFonts w:hint="default" w:ascii="Cambria Math" w:hAnsi="Cambria Math" w:eastAsia="宋体" w:cs="Times New Roman"/>
                            <w:i/>
                            <w:color w:val="auto"/>
                            <w:sz w:val="24"/>
                            <w:szCs w:val="24"/>
                          </w:rPr>
                        </m:ctrlPr>
                      </m:e>
                      <m:sub>
                        <m:r>
                          <m:rPr/>
                          <w:rPr>
                            <w:rFonts w:hint="default" w:ascii="Cambria Math" w:hAnsi="Cambria Math" w:eastAsia="宋体" w:cs="Times New Roman"/>
                            <w:color w:val="auto"/>
                            <w:sz w:val="24"/>
                            <w:szCs w:val="24"/>
                          </w:rPr>
                          <m:t>i</m:t>
                        </m:r>
                        <m:ctrlPr>
                          <w:rPr>
                            <w:rFonts w:hint="default" w:ascii="Cambria Math" w:hAnsi="Cambria Math" w:eastAsia="宋体" w:cs="Times New Roman"/>
                            <w:i/>
                            <w:color w:val="auto"/>
                            <w:sz w:val="24"/>
                            <w:szCs w:val="24"/>
                          </w:rPr>
                        </m:ctrlPr>
                      </m:sub>
                    </m:sSub>
                    <m:ctrlPr>
                      <w:rPr>
                        <w:rFonts w:hint="default" w:ascii="Cambria Math" w:hAnsi="Cambria Math" w:eastAsia="宋体" w:cs="Times New Roman"/>
                        <w:color w:val="auto"/>
                        <w:sz w:val="24"/>
                        <w:szCs w:val="24"/>
                      </w:rPr>
                    </m:ctrlPr>
                  </m:num>
                  <m:den>
                    <m:sSub>
                      <m:sSubPr>
                        <m:ctrlPr>
                          <w:rPr>
                            <w:rFonts w:hint="default" w:ascii="Cambria Math" w:hAnsi="Cambria Math" w:eastAsia="宋体" w:cs="Times New Roman"/>
                            <w:i/>
                            <w:color w:val="auto"/>
                            <w:sz w:val="24"/>
                            <w:szCs w:val="24"/>
                          </w:rPr>
                        </m:ctrlPr>
                      </m:sSubPr>
                      <m:e>
                        <m:r>
                          <m:rPr/>
                          <w:rPr>
                            <w:rFonts w:hint="default" w:ascii="Cambria Math" w:hAnsi="Cambria Math" w:eastAsia="宋体" w:cs="Times New Roman"/>
                            <w:color w:val="auto"/>
                            <w:sz w:val="24"/>
                            <w:szCs w:val="24"/>
                          </w:rPr>
                          <m:t>C</m:t>
                        </m:r>
                        <m:ctrlPr>
                          <w:rPr>
                            <w:rFonts w:hint="default" w:ascii="Cambria Math" w:hAnsi="Cambria Math" w:eastAsia="宋体" w:cs="Times New Roman"/>
                            <w:i/>
                            <w:color w:val="auto"/>
                            <w:sz w:val="24"/>
                            <w:szCs w:val="24"/>
                          </w:rPr>
                        </m:ctrlPr>
                      </m:e>
                      <m:sub>
                        <m:r>
                          <m:rPr/>
                          <w:rPr>
                            <w:rFonts w:hint="default" w:ascii="Cambria Math" w:hAnsi="Cambria Math" w:eastAsia="宋体" w:cs="Times New Roman"/>
                            <w:color w:val="auto"/>
                            <w:sz w:val="24"/>
                            <w:szCs w:val="24"/>
                          </w:rPr>
                          <m:t>0i</m:t>
                        </m:r>
                        <m:ctrlPr>
                          <w:rPr>
                            <w:rFonts w:hint="default" w:ascii="Cambria Math" w:hAnsi="Cambria Math" w:eastAsia="宋体" w:cs="Times New Roman"/>
                            <w:i/>
                            <w:color w:val="auto"/>
                            <w:sz w:val="24"/>
                            <w:szCs w:val="24"/>
                          </w:rPr>
                        </m:ctrlPr>
                      </m:sub>
                    </m:sSub>
                    <m:ctrlPr>
                      <w:rPr>
                        <w:rFonts w:hint="default" w:ascii="Cambria Math" w:hAnsi="Cambria Math" w:eastAsia="宋体" w:cs="Times New Roman"/>
                        <w:color w:val="auto"/>
                        <w:sz w:val="24"/>
                        <w:szCs w:val="24"/>
                      </w:rPr>
                    </m:ctrlPr>
                  </m:den>
                </m:f>
                <m:r>
                  <m:rPr/>
                  <w:rPr>
                    <w:rFonts w:hint="default" w:ascii="Cambria Math" w:hAnsi="Cambria Math" w:eastAsia="宋体" w:cs="Times New Roman"/>
                    <w:color w:val="auto"/>
                    <w:sz w:val="24"/>
                    <w:szCs w:val="24"/>
                  </w:rPr>
                  <m:t>×100%</m:t>
                </m:r>
              </m:oMath>
            </m:oMathPara>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w:rPr>
                      <w:rFonts w:hint="default" w:ascii="Cambria Math" w:hAnsi="Cambria Math" w:eastAsia="宋体" w:cs="Times New Roman"/>
                      <w:color w:val="auto"/>
                      <w:sz w:val="24"/>
                      <w:szCs w:val="24"/>
                    </w:rPr>
                    <m:t>P</m:t>
                  </m:r>
                  <m:ctrlPr>
                    <w:rPr>
                      <w:rFonts w:hint="default" w:ascii="Cambria Math" w:hAnsi="Cambria Math" w:eastAsia="宋体" w:cs="Times New Roman"/>
                      <w:color w:val="auto"/>
                      <w:sz w:val="24"/>
                      <w:szCs w:val="24"/>
                    </w:rPr>
                  </m:ctrlPr>
                </m:e>
                <m:sub>
                  <m:r>
                    <m:rPr/>
                    <w:rPr>
                      <w:rFonts w:hint="default" w:ascii="Cambria Math" w:hAnsi="Cambria Math" w:eastAsia="宋体" w:cs="Times New Roman"/>
                      <w:color w:val="auto"/>
                      <w:sz w:val="24"/>
                      <w:szCs w:val="24"/>
                    </w:rPr>
                    <m:t>i</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——第i个污染物的最大地面空气质量浓度占标率，%；</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i/>
                      <w:color w:val="auto"/>
                      <w:sz w:val="24"/>
                      <w:szCs w:val="24"/>
                    </w:rPr>
                  </m:ctrlPr>
                </m:sSubPr>
                <m:e>
                  <m:r>
                    <m:rPr/>
                    <w:rPr>
                      <w:rFonts w:hint="default" w:ascii="Cambria Math" w:hAnsi="Cambria Math" w:eastAsia="宋体" w:cs="Times New Roman"/>
                      <w:color w:val="auto"/>
                      <w:sz w:val="24"/>
                      <w:szCs w:val="24"/>
                    </w:rPr>
                    <m:t>C</m:t>
                  </m:r>
                  <m:ctrlPr>
                    <w:rPr>
                      <w:rFonts w:hint="default" w:ascii="Cambria Math" w:hAnsi="Cambria Math" w:eastAsia="宋体" w:cs="Times New Roman"/>
                      <w:i/>
                      <w:color w:val="auto"/>
                      <w:sz w:val="24"/>
                      <w:szCs w:val="24"/>
                    </w:rPr>
                  </m:ctrlPr>
                </m:e>
                <m:sub>
                  <m:r>
                    <m:rPr/>
                    <w:rPr>
                      <w:rFonts w:hint="default" w:ascii="Cambria Math" w:hAnsi="Cambria Math" w:eastAsia="宋体" w:cs="Times New Roman"/>
                      <w:color w:val="auto"/>
                      <w:sz w:val="24"/>
                      <w:szCs w:val="24"/>
                    </w:rPr>
                    <m:t>i</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t>——采用估算模型计算出的第i个污染物的最大1h地面空气质量浓度，μg/m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autoSpaceDE/>
              <w:autoSpaceDN/>
              <w:bidi w:val="0"/>
              <w:spacing w:line="480" w:lineRule="exact"/>
              <w:ind w:firstLine="480" w:firstLineChars="200"/>
              <w:jc w:val="lef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i/>
                      <w:color w:val="auto"/>
                      <w:sz w:val="24"/>
                      <w:szCs w:val="24"/>
                    </w:rPr>
                  </m:ctrlPr>
                </m:sSubPr>
                <m:e>
                  <m:r>
                    <m:rPr/>
                    <w:rPr>
                      <w:rFonts w:hint="default" w:ascii="Cambria Math" w:hAnsi="Cambria Math" w:eastAsia="宋体" w:cs="Times New Roman"/>
                      <w:color w:val="auto"/>
                      <w:sz w:val="24"/>
                      <w:szCs w:val="24"/>
                    </w:rPr>
                    <m:t>C</m:t>
                  </m:r>
                  <m:ctrlPr>
                    <w:rPr>
                      <w:rFonts w:hint="default" w:ascii="Cambria Math" w:hAnsi="Cambria Math" w:eastAsia="宋体" w:cs="Times New Roman"/>
                      <w:i/>
                      <w:color w:val="auto"/>
                      <w:sz w:val="24"/>
                      <w:szCs w:val="24"/>
                    </w:rPr>
                  </m:ctrlPr>
                </m:e>
                <m:sub>
                  <m:r>
                    <m:rPr/>
                    <w:rPr>
                      <w:rFonts w:hint="default" w:ascii="Cambria Math" w:hAnsi="Cambria Math" w:eastAsia="宋体" w:cs="Times New Roman"/>
                      <w:color w:val="auto"/>
                      <w:sz w:val="24"/>
                      <w:szCs w:val="24"/>
                    </w:rPr>
                    <m:t>0i</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t>——第i个污染物的环境空气质量浓度标准，μg/m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pStyle w:val="2"/>
              <w:keepNext w:val="0"/>
              <w:keepLines w:val="0"/>
              <w:pageBreakBefore w:val="0"/>
              <w:tabs>
                <w:tab w:val="left" w:pos="7500"/>
              </w:tabs>
              <w:kinsoku/>
              <w:wordWrap/>
              <w:overflowPunct/>
              <w:topLinePunct w:val="0"/>
              <w:autoSpaceDE/>
              <w:autoSpaceDN/>
              <w:bidi w:val="0"/>
              <w:spacing w:after="0" w:line="480" w:lineRule="exact"/>
              <w:ind w:left="0" w:leftChars="0" w:firstLine="48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2 \* GB3 \* MERGEFORMAT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color w:val="auto"/>
                <w:sz w:val="24"/>
                <w:szCs w:val="24"/>
              </w:rPr>
              <w:t>评价等级判别</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评价等级分级判据详见表7-8。</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表7-8  环境空气评价工作等级判据</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6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3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3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vertAlign w:val="subscript"/>
                    </w:rPr>
                    <w:t>max</w:t>
                  </w:r>
                  <w:r>
                    <w:rPr>
                      <w:rFonts w:hint="default" w:ascii="Times New Roman" w:hAnsi="Times New Roman" w:eastAsia="宋体" w:cs="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3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1%≤P</w:t>
                  </w:r>
                  <w:r>
                    <w:rPr>
                      <w:rFonts w:hint="default" w:ascii="Times New Roman" w:hAnsi="Times New Roman" w:eastAsia="宋体" w:cs="Times New Roman"/>
                      <w:color w:val="auto"/>
                      <w:sz w:val="21"/>
                      <w:szCs w:val="21"/>
                      <w:vertAlign w:val="subscript"/>
                    </w:rPr>
                    <w:t>max</w:t>
                  </w:r>
                  <w:r>
                    <w:rPr>
                      <w:rFonts w:hint="default" w:ascii="Times New Roman" w:hAnsi="Times New Roman" w:eastAsia="宋体" w:cs="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3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vertAlign w:val="subscript"/>
                    </w:rPr>
                    <w:t>max</w:t>
                  </w:r>
                  <w:r>
                    <w:rPr>
                      <w:rFonts w:hint="default" w:ascii="Times New Roman" w:hAnsi="Times New Roman" w:eastAsia="宋体" w:cs="Times New Roman"/>
                      <w:color w:val="auto"/>
                      <w:sz w:val="21"/>
                      <w:szCs w:val="21"/>
                    </w:rPr>
                    <w:t>＜1%</w:t>
                  </w:r>
                </w:p>
              </w:tc>
            </w:tr>
          </w:tbl>
          <w:p>
            <w:pPr>
              <w:pStyle w:val="2"/>
              <w:keepNext w:val="0"/>
              <w:keepLines w:val="0"/>
              <w:pageBreakBefore w:val="0"/>
              <w:widowControl w:val="0"/>
              <w:tabs>
                <w:tab w:val="left" w:pos="7500"/>
              </w:tabs>
              <w:kinsoku/>
              <w:wordWrap/>
              <w:overflowPunct/>
              <w:topLinePunct w:val="0"/>
              <w:autoSpaceDE/>
              <w:autoSpaceDN/>
              <w:bidi w:val="0"/>
              <w:adjustRightInd/>
              <w:snapToGrid/>
              <w:spacing w:after="0" w:line="480" w:lineRule="exact"/>
              <w:ind w:left="0" w:leftChars="0" w:firstLine="48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 3 \* GB3 \* MERGEFORMAT </w:instrText>
            </w:r>
            <w:r>
              <w:rPr>
                <w:rFonts w:hint="default" w:ascii="Times New Roman" w:hAnsi="Times New Roman" w:eastAsia="宋体" w:cs="Times New Roman"/>
                <w:bCs/>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污染源参数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根据工程分析各污染源的基本分布状况及排放特征，本项目排放的主要污染源参数调查清单见表7-9。</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表7-9  主要废气污染源参数一览表（</w:t>
            </w:r>
            <w:r>
              <w:rPr>
                <w:rFonts w:hint="default" w:ascii="Times New Roman" w:hAnsi="Times New Roman" w:eastAsia="宋体" w:cs="Times New Roman"/>
                <w:b/>
                <w:color w:val="auto"/>
                <w:sz w:val="24"/>
                <w:lang w:eastAsia="zh-CN"/>
              </w:rPr>
              <w:t>点</w:t>
            </w:r>
            <w:r>
              <w:rPr>
                <w:rFonts w:hint="default" w:ascii="Times New Roman" w:hAnsi="Times New Roman" w:eastAsia="宋体" w:cs="Times New Roman"/>
                <w:b/>
                <w:color w:val="auto"/>
                <w:sz w:val="24"/>
              </w:rPr>
              <w:t>源）</w:t>
            </w:r>
          </w:p>
          <w:tbl>
            <w:tblPr>
              <w:tblStyle w:val="77"/>
              <w:tblW w:w="924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5"/>
              <w:gridCol w:w="855"/>
              <w:gridCol w:w="825"/>
              <w:gridCol w:w="720"/>
              <w:gridCol w:w="720"/>
              <w:gridCol w:w="675"/>
              <w:gridCol w:w="640"/>
              <w:gridCol w:w="658"/>
              <w:gridCol w:w="802"/>
              <w:gridCol w:w="660"/>
              <w:gridCol w:w="1003"/>
              <w:gridCol w:w="106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2" w:type="pct"/>
                  <w:vMerge w:val="restar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908" w:type="pct"/>
                  <w:gridSpan w:val="2"/>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烟囱底部中</w:t>
                  </w:r>
                </w:p>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心经纬度</w:t>
                  </w:r>
                </w:p>
              </w:tc>
              <w:tc>
                <w:tcPr>
                  <w:tcW w:w="389" w:type="pct"/>
                  <w:vMerge w:val="restart"/>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烟囱底部海拔高度/m</w:t>
                  </w:r>
                </w:p>
              </w:tc>
              <w:tc>
                <w:tcPr>
                  <w:tcW w:w="389" w:type="pct"/>
                  <w:vMerge w:val="restart"/>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烟囱高度/m</w:t>
                  </w:r>
                </w:p>
              </w:tc>
              <w:tc>
                <w:tcPr>
                  <w:tcW w:w="365" w:type="pct"/>
                  <w:vMerge w:val="restart"/>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烟囱出口内径/m</w:t>
                  </w:r>
                </w:p>
              </w:tc>
              <w:tc>
                <w:tcPr>
                  <w:tcW w:w="346" w:type="pct"/>
                  <w:vMerge w:val="restart"/>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w:t>
                  </w:r>
                </w:p>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流速</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356" w:type="pct"/>
                  <w:vMerge w:val="restart"/>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w:t>
                  </w:r>
                </w:p>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w:t>
                  </w:r>
                </w:p>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3" w:type="pct"/>
                  <w:vMerge w:val="restart"/>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年排放小时数（h）</w:t>
                  </w:r>
                </w:p>
              </w:tc>
              <w:tc>
                <w:tcPr>
                  <w:tcW w:w="357" w:type="pct"/>
                  <w:vMerge w:val="restar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排放工况</w:t>
                  </w:r>
                </w:p>
              </w:tc>
              <w:tc>
                <w:tcPr>
                  <w:tcW w:w="1120" w:type="pct"/>
                  <w:gridSpan w:val="2"/>
                  <w:shd w:val="clear" w:color="auto" w:fill="FFFFFF"/>
                  <w:noWrap w:val="0"/>
                  <w:vAlign w:val="center"/>
                </w:tcPr>
                <w:p>
                  <w:pPr>
                    <w:pStyle w:val="199"/>
                    <w:spacing w:line="240" w:lineRule="auto"/>
                    <w:ind w:left="-90" w:leftChars="-43" w:right="-113" w:rightChars="-5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污染物排放速率（kg/h）</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2"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462"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446"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389"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389"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365"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346"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356"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433"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357" w:type="pct"/>
                  <w:vMerge w:val="continue"/>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p>
              </w:tc>
              <w:tc>
                <w:tcPr>
                  <w:tcW w:w="542" w:type="pct"/>
                  <w:shd w:val="clear" w:color="auto" w:fill="FFFFFF"/>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577" w:type="pct"/>
                  <w:shd w:val="clear" w:color="auto" w:fill="FFFFFF"/>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2"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462" w:type="pct"/>
                  <w:shd w:val="clear" w:color="auto" w:fill="FFFFFF"/>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113°14'27.76"</w:t>
                  </w:r>
                </w:p>
              </w:tc>
              <w:tc>
                <w:tcPr>
                  <w:tcW w:w="446" w:type="pct"/>
                  <w:shd w:val="clear" w:color="auto" w:fill="FFFFFF"/>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39°10'48.55"</w:t>
                  </w:r>
                </w:p>
              </w:tc>
              <w:tc>
                <w:tcPr>
                  <w:tcW w:w="389"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911</w:t>
                  </w:r>
                </w:p>
              </w:tc>
              <w:tc>
                <w:tcPr>
                  <w:tcW w:w="389" w:type="pct"/>
                  <w:shd w:val="clear" w:color="auto" w:fill="FFFFFF"/>
                  <w:noWrap w:val="0"/>
                  <w:vAlign w:val="center"/>
                </w:tcPr>
                <w:p>
                  <w:pPr>
                    <w:pStyle w:val="70"/>
                    <w:keepNext w:val="0"/>
                    <w:keepLines w:val="0"/>
                    <w:pageBreakBefore w:val="0"/>
                    <w:kinsoku/>
                    <w:wordWrap/>
                    <w:overflowPunct/>
                    <w:topLinePunct w:val="0"/>
                    <w:autoSpaceDE w:val="0"/>
                    <w:autoSpaceDN w:val="0"/>
                    <w:bidi w:val="0"/>
                    <w:spacing w:before="0" w:beforeAutospacing="0" w:after="0" w:afterAutospacing="0"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65"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346"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16.58</w:t>
                  </w:r>
                </w:p>
              </w:tc>
              <w:tc>
                <w:tcPr>
                  <w:tcW w:w="356"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33"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8760</w:t>
                  </w:r>
                </w:p>
              </w:tc>
              <w:tc>
                <w:tcPr>
                  <w:tcW w:w="357" w:type="pct"/>
                  <w:shd w:val="clear" w:color="auto" w:fill="FFFFFF"/>
                  <w:noWrap w:val="0"/>
                  <w:vAlign w:val="center"/>
                </w:tcPr>
                <w:p>
                  <w:pPr>
                    <w:pStyle w:val="199"/>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正常工况</w:t>
                  </w:r>
                </w:p>
              </w:tc>
              <w:tc>
                <w:tcPr>
                  <w:tcW w:w="542" w:type="pct"/>
                  <w:shd w:val="clear" w:color="auto" w:fill="FFFFFF"/>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0"/>
                      <w:sz w:val="24"/>
                      <w:szCs w:val="24"/>
                      <w:lang w:val="en-US" w:eastAsia="zh-CN"/>
                    </w:rPr>
                    <w:t>0.00002</w:t>
                  </w:r>
                </w:p>
              </w:tc>
              <w:tc>
                <w:tcPr>
                  <w:tcW w:w="577" w:type="pct"/>
                  <w:shd w:val="clear" w:color="auto" w:fill="FFFFFF"/>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0"/>
                      <w:sz w:val="24"/>
                      <w:szCs w:val="24"/>
                      <w:lang w:val="en-US" w:eastAsia="zh-CN"/>
                    </w:rPr>
                    <w:t>0.00068</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项目其他参数</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表7-10  评价因子和评价标准表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2041"/>
              <w:gridCol w:w="2038"/>
              <w:gridCol w:w="3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tcBorders>
                    <w:tl2br w:val="nil"/>
                    <w:tr2bl w:val="nil"/>
                  </w:tcBorders>
                  <w:vAlign w:val="center"/>
                </w:tcPr>
                <w:p>
                  <w:pPr>
                    <w:adjustRightInd w:val="0"/>
                    <w:snapToGrid w:val="0"/>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117" w:type="pct"/>
                  <w:tcBorders>
                    <w:tl2br w:val="nil"/>
                    <w:tr2bl w:val="nil"/>
                  </w:tcBorders>
                  <w:vAlign w:val="center"/>
                </w:tcPr>
                <w:p>
                  <w:pPr>
                    <w:adjustRightInd w:val="0"/>
                    <w:snapToGrid w:val="0"/>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平均时段</w:t>
                  </w:r>
                </w:p>
              </w:tc>
              <w:tc>
                <w:tcPr>
                  <w:tcW w:w="1115" w:type="pct"/>
                  <w:tcBorders>
                    <w:tl2br w:val="nil"/>
                    <w:tr2bl w:val="nil"/>
                  </w:tcBorders>
                  <w:vAlign w:val="center"/>
                </w:tcPr>
                <w:p>
                  <w:pPr>
                    <w:adjustRightInd w:val="0"/>
                    <w:snapToGrid w:val="0"/>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652" w:type="pct"/>
                  <w:tcBorders>
                    <w:tl2br w:val="nil"/>
                    <w:tr2bl w:val="nil"/>
                  </w:tcBorders>
                  <w:vAlign w:val="center"/>
                </w:tcPr>
                <w:p>
                  <w:pPr>
                    <w:adjustRightInd w:val="0"/>
                    <w:snapToGrid w:val="0"/>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117" w:type="pct"/>
                  <w:tcBorders>
                    <w:tl2br w:val="nil"/>
                    <w:tr2bl w:val="nil"/>
                  </w:tcBorders>
                  <w:vAlign w:val="center"/>
                </w:tcPr>
                <w:p>
                  <w:pPr>
                    <w:pStyle w:val="70"/>
                    <w:autoSpaceDE w:val="0"/>
                    <w:autoSpaceDN w:val="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小时</w:t>
                  </w:r>
                </w:p>
              </w:tc>
              <w:tc>
                <w:tcPr>
                  <w:tcW w:w="1115"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4"/>
                      <w:kern w:val="0"/>
                      <w:sz w:val="21"/>
                      <w:szCs w:val="21"/>
                      <w:vertAlign w:val="superscript"/>
                    </w:rPr>
                  </w:pPr>
                  <w:r>
                    <w:rPr>
                      <w:rFonts w:hint="default" w:ascii="Times New Roman" w:hAnsi="Times New Roman" w:eastAsia="宋体" w:cs="Times New Roman"/>
                      <w:color w:val="auto"/>
                      <w:sz w:val="21"/>
                      <w:szCs w:val="21"/>
                    </w:rPr>
                    <w:t>200</w:t>
                  </w:r>
                  <w:r>
                    <w:rPr>
                      <w:rFonts w:hint="default" w:ascii="Times New Roman" w:hAnsi="Times New Roman" w:eastAsia="宋体" w:cs="Times New Roman"/>
                      <w:color w:val="auto"/>
                      <w:spacing w:val="4"/>
                      <w:kern w:val="0"/>
                      <w:sz w:val="21"/>
                      <w:szCs w:val="21"/>
                    </w:rPr>
                    <w:t>µg/m³</w:t>
                  </w:r>
                </w:p>
              </w:tc>
              <w:tc>
                <w:tcPr>
                  <w:tcW w:w="1652" w:type="pct"/>
                  <w:vMerge w:val="restart"/>
                  <w:tcBorders>
                    <w:tl2br w:val="nil"/>
                    <w:tr2bl w:val="nil"/>
                  </w:tcBorders>
                  <w:vAlign w:val="center"/>
                </w:tcPr>
                <w:p>
                  <w:pPr>
                    <w:adjustRightInd w:val="0"/>
                    <w:snapToGrid w:val="0"/>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《环境影响评价技术导则大气环境》（HJ2.2-2018）附录D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117" w:type="pct"/>
                  <w:tcBorders>
                    <w:tl2br w:val="nil"/>
                    <w:tr2bl w:val="nil"/>
                  </w:tcBorders>
                  <w:vAlign w:val="center"/>
                </w:tcPr>
                <w:p>
                  <w:pPr>
                    <w:pStyle w:val="70"/>
                    <w:autoSpaceDE w:val="0"/>
                    <w:autoSpaceDN w:val="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小时</w:t>
                  </w:r>
                </w:p>
              </w:tc>
              <w:tc>
                <w:tcPr>
                  <w:tcW w:w="1115"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4"/>
                      <w:kern w:val="0"/>
                      <w:sz w:val="21"/>
                      <w:szCs w:val="21"/>
                      <w:vertAlign w:val="superscript"/>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pacing w:val="4"/>
                      <w:kern w:val="0"/>
                      <w:sz w:val="21"/>
                      <w:szCs w:val="21"/>
                    </w:rPr>
                    <w:t>µg/m³</w:t>
                  </w:r>
                </w:p>
              </w:tc>
              <w:tc>
                <w:tcPr>
                  <w:tcW w:w="1652" w:type="pct"/>
                  <w:vMerge w:val="continue"/>
                  <w:tcBorders>
                    <w:tl2br w:val="nil"/>
                    <w:tr2bl w:val="nil"/>
                  </w:tcBorders>
                  <w:vAlign w:val="center"/>
                </w:tcPr>
                <w:p>
                  <w:pPr>
                    <w:adjustRightInd w:val="0"/>
                    <w:snapToGrid w:val="0"/>
                    <w:spacing w:line="240" w:lineRule="auto"/>
                    <w:jc w:val="center"/>
                    <w:outlineLvl w:val="2"/>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表7-11  估算模型参数表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8"/>
              <w:gridCol w:w="2843"/>
              <w:gridCol w:w="38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2" w:type="dxa"/>
                  <w:gridSpan w:val="2"/>
                  <w:tcBorders>
                    <w:top w:val="single" w:color="auto" w:sz="12"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3799" w:type="dxa"/>
                  <w:tcBorders>
                    <w:top w:val="single" w:color="auto" w:sz="12"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0" w:type="dxa"/>
                  <w:vMerge w:val="restart"/>
                  <w:tcBorders>
                    <w:top w:val="single" w:color="auto" w:sz="6"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282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0" w:type="dxa"/>
                  <w:vMerge w:val="continue"/>
                  <w:tcBorders>
                    <w:top w:val="single" w:color="auto" w:sz="6" w:space="0"/>
                    <w:left w:val="nil"/>
                    <w:bottom w:val="single" w:color="auto" w:sz="6" w:space="0"/>
                    <w:right w:val="single" w:color="auto" w:sz="6" w:space="0"/>
                  </w:tcBorders>
                  <w:noWrap/>
                  <w:vAlign w:val="center"/>
                </w:tcPr>
                <w:p>
                  <w:pPr>
                    <w:widowControl/>
                    <w:spacing w:line="240" w:lineRule="auto"/>
                    <w:jc w:val="left"/>
                    <w:rPr>
                      <w:rFonts w:hint="default" w:ascii="Times New Roman" w:hAnsi="Times New Roman" w:eastAsia="宋体" w:cs="Times New Roman"/>
                      <w:color w:val="auto"/>
                      <w:sz w:val="21"/>
                      <w:szCs w:val="21"/>
                    </w:rPr>
                  </w:pPr>
                </w:p>
              </w:tc>
              <w:tc>
                <w:tcPr>
                  <w:tcW w:w="282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人口数(城市人口数)</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2" w:type="dxa"/>
                  <w:gridSpan w:val="2"/>
                  <w:tcBorders>
                    <w:top w:val="single" w:color="auto" w:sz="6"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2" w:type="dxa"/>
                  <w:gridSpan w:val="2"/>
                  <w:tcBorders>
                    <w:top w:val="single" w:color="auto" w:sz="6"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2" w:type="dxa"/>
                  <w:gridSpan w:val="2"/>
                  <w:tcBorders>
                    <w:top w:val="single" w:color="auto" w:sz="6"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72" w:type="dxa"/>
                  <w:gridSpan w:val="2"/>
                  <w:tcBorders>
                    <w:top w:val="single" w:color="auto" w:sz="6"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中等湿度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0" w:type="dxa"/>
                  <w:vMerge w:val="restart"/>
                  <w:tcBorders>
                    <w:top w:val="single" w:color="auto" w:sz="6" w:space="0"/>
                    <w:left w:val="nil"/>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282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否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0" w:type="dxa"/>
                  <w:vMerge w:val="continue"/>
                  <w:tcBorders>
                    <w:top w:val="single" w:color="auto" w:sz="6" w:space="0"/>
                    <w:left w:val="nil"/>
                    <w:bottom w:val="single" w:color="auto" w:sz="6" w:space="0"/>
                    <w:right w:val="single" w:color="auto" w:sz="6" w:space="0"/>
                  </w:tcBorders>
                  <w:noWrap/>
                  <w:vAlign w:val="center"/>
                </w:tcPr>
                <w:p>
                  <w:pPr>
                    <w:widowControl/>
                    <w:spacing w:line="240" w:lineRule="auto"/>
                    <w:jc w:val="left"/>
                    <w:rPr>
                      <w:rFonts w:hint="default" w:ascii="Times New Roman" w:hAnsi="Times New Roman" w:eastAsia="宋体" w:cs="Times New Roman"/>
                      <w:color w:val="auto"/>
                      <w:sz w:val="21"/>
                      <w:szCs w:val="21"/>
                    </w:rPr>
                  </w:pPr>
                </w:p>
              </w:tc>
              <w:tc>
                <w:tcPr>
                  <w:tcW w:w="282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450" w:type="dxa"/>
                  <w:vMerge w:val="restart"/>
                  <w:tcBorders>
                    <w:top w:val="single" w:color="auto" w:sz="6" w:space="0"/>
                    <w:left w:val="nil"/>
                    <w:bottom w:val="single" w:color="auto" w:sz="12"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是否考虑海岸线熏烟</w:t>
                  </w:r>
                </w:p>
              </w:tc>
              <w:tc>
                <w:tcPr>
                  <w:tcW w:w="282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考虑海岸线熏烟</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0" w:type="dxa"/>
                  <w:vMerge w:val="continue"/>
                  <w:tcBorders>
                    <w:top w:val="single" w:color="auto" w:sz="6" w:space="0"/>
                    <w:left w:val="nil"/>
                    <w:bottom w:val="single" w:color="auto" w:sz="12" w:space="0"/>
                    <w:right w:val="single" w:color="auto" w:sz="6" w:space="0"/>
                  </w:tcBorders>
                  <w:noWrap/>
                  <w:vAlign w:val="center"/>
                </w:tcPr>
                <w:p>
                  <w:pPr>
                    <w:widowControl/>
                    <w:spacing w:line="240" w:lineRule="auto"/>
                    <w:jc w:val="left"/>
                    <w:rPr>
                      <w:rFonts w:hint="default" w:ascii="Times New Roman" w:hAnsi="Times New Roman" w:eastAsia="宋体" w:cs="Times New Roman"/>
                      <w:color w:val="auto"/>
                      <w:sz w:val="21"/>
                      <w:szCs w:val="21"/>
                    </w:rPr>
                  </w:pPr>
                </w:p>
              </w:tc>
              <w:tc>
                <w:tcPr>
                  <w:tcW w:w="2822"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海岸线距离/km</w:t>
                  </w:r>
                </w:p>
              </w:tc>
              <w:tc>
                <w:tcPr>
                  <w:tcW w:w="3799" w:type="dxa"/>
                  <w:tcBorders>
                    <w:top w:val="single" w:color="auto" w:sz="6" w:space="0"/>
                    <w:left w:val="single" w:color="auto" w:sz="6" w:space="0"/>
                    <w:bottom w:val="single" w:color="auto" w:sz="6"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0" w:type="dxa"/>
                  <w:vMerge w:val="continue"/>
                  <w:tcBorders>
                    <w:top w:val="single" w:color="auto" w:sz="6" w:space="0"/>
                    <w:left w:val="nil"/>
                    <w:bottom w:val="single" w:color="auto" w:sz="12" w:space="0"/>
                    <w:right w:val="single" w:color="auto" w:sz="6" w:space="0"/>
                  </w:tcBorders>
                  <w:noWrap/>
                  <w:vAlign w:val="center"/>
                </w:tcPr>
                <w:p>
                  <w:pPr>
                    <w:widowControl/>
                    <w:spacing w:line="240" w:lineRule="auto"/>
                    <w:jc w:val="left"/>
                    <w:rPr>
                      <w:rFonts w:hint="default" w:ascii="Times New Roman" w:hAnsi="Times New Roman" w:eastAsia="宋体" w:cs="Times New Roman"/>
                      <w:color w:val="auto"/>
                      <w:sz w:val="21"/>
                      <w:szCs w:val="21"/>
                    </w:rPr>
                  </w:pPr>
                </w:p>
              </w:tc>
              <w:tc>
                <w:tcPr>
                  <w:tcW w:w="2822" w:type="dxa"/>
                  <w:tcBorders>
                    <w:top w:val="single" w:color="auto" w:sz="6" w:space="0"/>
                    <w:left w:val="single" w:color="auto" w:sz="6" w:space="0"/>
                    <w:bottom w:val="single" w:color="auto" w:sz="12" w:space="0"/>
                    <w:right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海岸线方向/</w:t>
                  </w:r>
                  <w:r>
                    <w:rPr>
                      <w:rFonts w:hint="default" w:ascii="Times New Roman" w:hAnsi="Times New Roman" w:eastAsia="宋体" w:cs="Times New Roman"/>
                      <w:color w:val="auto"/>
                      <w:sz w:val="21"/>
                      <w:szCs w:val="21"/>
                      <w:vertAlign w:val="superscript"/>
                    </w:rPr>
                    <w:t>o</w:t>
                  </w:r>
                </w:p>
              </w:tc>
              <w:tc>
                <w:tcPr>
                  <w:tcW w:w="3799" w:type="dxa"/>
                  <w:tcBorders>
                    <w:top w:val="single" w:color="auto" w:sz="6" w:space="0"/>
                    <w:left w:val="single" w:color="auto" w:sz="6" w:space="0"/>
                    <w:bottom w:val="single" w:color="auto" w:sz="12" w:space="0"/>
                    <w:right w:val="nil"/>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2"/>
              <w:keepNext w:val="0"/>
              <w:keepLines w:val="0"/>
              <w:pageBreakBefore w:val="0"/>
              <w:widowControl w:val="0"/>
              <w:tabs>
                <w:tab w:val="left" w:pos="7500"/>
              </w:tabs>
              <w:kinsoku/>
              <w:wordWrap/>
              <w:overflowPunct/>
              <w:topLinePunct w:val="0"/>
              <w:autoSpaceDE/>
              <w:autoSpaceDN/>
              <w:bidi w:val="0"/>
              <w:snapToGrid/>
              <w:spacing w:after="0" w:line="480" w:lineRule="exact"/>
              <w:ind w:left="0" w:leftChars="0" w:firstLine="48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 5 \* GB3 \* MERGEFORMAT </w:instrText>
            </w:r>
            <w:r>
              <w:rPr>
                <w:rFonts w:hint="default" w:ascii="Times New Roman" w:hAnsi="Times New Roman" w:eastAsia="宋体" w:cs="Times New Roman"/>
                <w:bCs/>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估算模型计算结果</w:t>
            </w:r>
          </w:p>
          <w:p>
            <w:pPr>
              <w:pStyle w:val="9"/>
              <w:keepNext w:val="0"/>
              <w:keepLines w:val="0"/>
              <w:pageBreakBefore w:val="0"/>
              <w:widowControl w:val="0"/>
              <w:kinsoku/>
              <w:wordWrap/>
              <w:overflowPunct/>
              <w:topLinePunct w:val="0"/>
              <w:autoSpaceDE/>
              <w:autoSpaceDN/>
              <w:bidi w:val="0"/>
              <w:snapToGrid/>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rPr>
              <w:t>本项目主要污染源估算模型计算结果见表7-12。</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表7-12  大气环境影响预测结果表（</w:t>
            </w:r>
            <w:r>
              <w:rPr>
                <w:rFonts w:hint="default" w:ascii="Times New Roman" w:hAnsi="Times New Roman" w:eastAsia="宋体" w:cs="Times New Roman"/>
                <w:b/>
                <w:color w:val="auto"/>
                <w:sz w:val="24"/>
                <w:lang w:eastAsia="zh-CN"/>
              </w:rPr>
              <w:t>点</w:t>
            </w:r>
            <w:r>
              <w:rPr>
                <w:rFonts w:hint="default" w:ascii="Times New Roman" w:hAnsi="Times New Roman" w:eastAsia="宋体" w:cs="Times New Roman"/>
                <w:b/>
                <w:color w:val="auto"/>
                <w:sz w:val="24"/>
              </w:rPr>
              <w:t>源）</w:t>
            </w:r>
          </w:p>
          <w:tbl>
            <w:tblPr>
              <w:tblStyle w:val="77"/>
              <w:tblW w:w="924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3362"/>
              <w:gridCol w:w="1670"/>
              <w:gridCol w:w="1270"/>
              <w:gridCol w:w="1469"/>
              <w:gridCol w:w="146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vMerge w:val="restart"/>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下风向距离/m</w:t>
                  </w:r>
                </w:p>
              </w:tc>
              <w:tc>
                <w:tcPr>
                  <w:tcW w:w="2940" w:type="dxa"/>
                  <w:gridSpan w:val="2"/>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2938" w:type="dxa"/>
                  <w:gridSpan w:val="2"/>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vMerge w:val="continue"/>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p>
              </w:tc>
              <w:tc>
                <w:tcPr>
                  <w:tcW w:w="1670" w:type="dxa"/>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预测质量浓度/（ug /m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1270" w:type="dxa"/>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占标率/%</w:t>
                  </w:r>
                </w:p>
              </w:tc>
              <w:tc>
                <w:tcPr>
                  <w:tcW w:w="1469" w:type="dxa"/>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预测质量浓度/（ug /m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1469" w:type="dxa"/>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占标率/%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0.0017</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0.000081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0.0062</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0.000304</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75</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0.0108</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0.000525</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0.0151</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0.000738</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0.0247</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0.001210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0.0315</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i w:val="0"/>
                      <w:color w:val="auto"/>
                      <w:kern w:val="0"/>
                      <w:sz w:val="21"/>
                      <w:szCs w:val="21"/>
                      <w:u w:val="none"/>
                      <w:lang w:val="en-US" w:eastAsia="zh-CN" w:bidi="ar"/>
                    </w:rPr>
                    <w:t>0.001540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i w:val="0"/>
                      <w:color w:val="auto"/>
                      <w:kern w:val="0"/>
                      <w:sz w:val="21"/>
                      <w:szCs w:val="21"/>
                      <w:u w:val="none"/>
                      <w:lang w:val="en-US" w:eastAsia="zh-CN" w:bidi="ar"/>
                    </w:rPr>
                    <w:t>0.020000000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211</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i w:val="0"/>
                      <w:color w:val="auto"/>
                      <w:kern w:val="0"/>
                      <w:sz w:val="21"/>
                      <w:szCs w:val="21"/>
                      <w:u w:val="none"/>
                      <w:lang w:val="en-US" w:eastAsia="zh-CN" w:bidi="ar"/>
                    </w:rPr>
                    <w:t>0.0316</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i w:val="0"/>
                      <w:color w:val="auto"/>
                      <w:kern w:val="0"/>
                      <w:sz w:val="21"/>
                      <w:szCs w:val="21"/>
                      <w:u w:val="none"/>
                      <w:lang w:val="en-US" w:eastAsia="zh-CN" w:bidi="ar"/>
                    </w:rPr>
                    <w:t>0.02</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0.0306</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0.001490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0.0278</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0.001360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0.0248</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0.001210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0.0240</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0.001170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0.0237</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0.001160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0.0231</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0.001130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0.0213</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0.001040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0.0193</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0.000944</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0.0175</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0.000854</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0.0159</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0.000774</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0.0144</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0.000703</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0.0095</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0.000464</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0.0082</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0.000401</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2500</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0.0074</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0.000359</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0.000000000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下风向最大质量浓度及占标率/%</w:t>
                  </w:r>
                </w:p>
              </w:tc>
              <w:tc>
                <w:tcPr>
                  <w:tcW w:w="16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i w:val="0"/>
                      <w:color w:val="auto"/>
                      <w:kern w:val="0"/>
                      <w:sz w:val="21"/>
                      <w:szCs w:val="21"/>
                      <w:u w:val="none"/>
                      <w:lang w:val="en-US" w:eastAsia="zh-CN" w:bidi="ar"/>
                    </w:rPr>
                    <w:t>0.0316</w:t>
                  </w:r>
                </w:p>
              </w:tc>
              <w:tc>
                <w:tcPr>
                  <w:tcW w:w="1270"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i w:val="0"/>
                      <w:color w:val="auto"/>
                      <w:kern w:val="0"/>
                      <w:sz w:val="21"/>
                      <w:szCs w:val="21"/>
                      <w:u w:val="none"/>
                      <w:lang w:val="en-US" w:eastAsia="zh-CN" w:bidi="ar"/>
                    </w:rPr>
                    <w:t>0.02</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i w:val="0"/>
                      <w:color w:val="auto"/>
                      <w:kern w:val="0"/>
                      <w:sz w:val="21"/>
                      <w:szCs w:val="21"/>
                      <w:u w:val="none"/>
                      <w:lang w:val="en-US" w:eastAsia="zh-CN" w:bidi="ar"/>
                    </w:rPr>
                    <w:t>0.001540</w:t>
                  </w:r>
                </w:p>
              </w:tc>
              <w:tc>
                <w:tcPr>
                  <w:tcW w:w="1469" w:type="dxa"/>
                  <w:shd w:val="clear" w:color="auto" w:fill="FFFFFF"/>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i w:val="0"/>
                      <w:color w:val="auto"/>
                      <w:kern w:val="0"/>
                      <w:sz w:val="21"/>
                      <w:szCs w:val="21"/>
                      <w:u w:val="none"/>
                      <w:lang w:val="en-US" w:eastAsia="zh-CN" w:bidi="ar"/>
                    </w:rPr>
                    <w:t>0.020000000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62" w:type="dxa"/>
                  <w:shd w:val="clear" w:color="auto" w:fill="FFFFFF"/>
                  <w:noWrap/>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i/>
                      <w:color w:val="auto"/>
                      <w:sz w:val="21"/>
                      <w:szCs w:val="21"/>
                    </w:rPr>
                    <w:t>D</w:t>
                  </w:r>
                  <w:r>
                    <w:rPr>
                      <w:rFonts w:hint="default" w:ascii="Times New Roman" w:hAnsi="Times New Roman" w:eastAsia="宋体" w:cs="Times New Roman"/>
                      <w:b/>
                      <w:color w:val="auto"/>
                      <w:sz w:val="21"/>
                      <w:szCs w:val="21"/>
                      <w:vertAlign w:val="subscript"/>
                    </w:rPr>
                    <w:t>10%</w:t>
                  </w:r>
                  <w:r>
                    <w:rPr>
                      <w:rFonts w:hint="default" w:ascii="Times New Roman" w:hAnsi="Times New Roman" w:eastAsia="宋体" w:cs="Times New Roman"/>
                      <w:b/>
                      <w:color w:val="auto"/>
                      <w:sz w:val="21"/>
                      <w:szCs w:val="21"/>
                    </w:rPr>
                    <w:t>最远距离/m</w:t>
                  </w:r>
                </w:p>
              </w:tc>
              <w:tc>
                <w:tcPr>
                  <w:tcW w:w="2940" w:type="dxa"/>
                  <w:gridSpan w:val="2"/>
                  <w:shd w:val="clear" w:color="auto" w:fill="FFFFFF"/>
                  <w:noWrap/>
                  <w:vAlign w:val="center"/>
                </w:tcPr>
                <w:p>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211</w:t>
                  </w:r>
                </w:p>
              </w:tc>
              <w:tc>
                <w:tcPr>
                  <w:tcW w:w="2938" w:type="dxa"/>
                  <w:gridSpan w:val="2"/>
                  <w:shd w:val="clear" w:color="auto" w:fill="FFFFFF"/>
                  <w:noWrap/>
                  <w:vAlign w:val="center"/>
                </w:tcPr>
                <w:p>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200</w:t>
                  </w:r>
                </w:p>
              </w:tc>
            </w:tr>
          </w:tbl>
          <w:p>
            <w:pPr>
              <w:pStyle w:val="2"/>
              <w:keepNext w:val="0"/>
              <w:keepLines w:val="0"/>
              <w:pageBreakBefore w:val="0"/>
              <w:widowControl w:val="0"/>
              <w:tabs>
                <w:tab w:val="left" w:pos="7500"/>
              </w:tabs>
              <w:kinsoku/>
              <w:wordWrap/>
              <w:overflowPunct/>
              <w:topLinePunct w:val="0"/>
              <w:autoSpaceDE/>
              <w:autoSpaceDN/>
              <w:bidi w:val="0"/>
              <w:adjustRightInd/>
              <w:snapToGrid/>
              <w:spacing w:after="0" w:line="480" w:lineRule="exact"/>
              <w:ind w:left="0" w:leftChars="0" w:firstLine="48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结果显示NH</w:t>
            </w:r>
            <w:r>
              <w:rPr>
                <w:rFonts w:hint="default" w:ascii="Times New Roman" w:hAnsi="Times New Roman" w:eastAsia="宋体" w:cs="Times New Roman"/>
                <w:bCs/>
                <w:color w:val="auto"/>
                <w:sz w:val="24"/>
                <w:vertAlign w:val="subscript"/>
              </w:rPr>
              <w:t>3</w:t>
            </w:r>
            <w:r>
              <w:rPr>
                <w:rFonts w:hint="default" w:ascii="Times New Roman" w:hAnsi="Times New Roman" w:eastAsia="宋体" w:cs="Times New Roman"/>
                <w:bCs/>
                <w:color w:val="auto"/>
                <w:sz w:val="24"/>
              </w:rPr>
              <w:t>最大地面小时浓度为</w:t>
            </w:r>
            <w:r>
              <w:rPr>
                <w:rFonts w:hint="default" w:ascii="Times New Roman" w:hAnsi="Times New Roman" w:eastAsia="宋体" w:cs="Times New Roman"/>
                <w:bCs/>
                <w:color w:val="auto"/>
                <w:sz w:val="24"/>
                <w:lang w:val="en-US" w:eastAsia="zh-CN"/>
              </w:rPr>
              <w:t>0.0316</w:t>
            </w:r>
            <w:r>
              <w:rPr>
                <w:rFonts w:hint="default" w:ascii="Times New Roman" w:hAnsi="Times New Roman" w:eastAsia="宋体" w:cs="Times New Roman"/>
                <w:bCs/>
                <w:color w:val="auto"/>
                <w:sz w:val="24"/>
              </w:rPr>
              <w:t>ug/Nm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，占标率为</w:t>
            </w:r>
            <w:r>
              <w:rPr>
                <w:rFonts w:hint="default" w:ascii="Times New Roman" w:hAnsi="Times New Roman" w:eastAsia="宋体" w:cs="Times New Roman"/>
                <w:bCs/>
                <w:color w:val="auto"/>
                <w:sz w:val="24"/>
                <w:lang w:val="en-US" w:eastAsia="zh-CN"/>
              </w:rPr>
              <w:t>0.02</w:t>
            </w:r>
            <w:r>
              <w:rPr>
                <w:rFonts w:hint="default" w:ascii="Times New Roman" w:hAnsi="Times New Roman" w:eastAsia="宋体" w:cs="Times New Roman"/>
                <w:bCs/>
                <w:color w:val="auto"/>
                <w:sz w:val="24"/>
              </w:rPr>
              <w:t>%，最大地面浓度距离面源下风向</w:t>
            </w:r>
            <w:r>
              <w:rPr>
                <w:rFonts w:hint="default" w:ascii="Times New Roman" w:hAnsi="Times New Roman" w:eastAsia="宋体" w:cs="Times New Roman"/>
                <w:bCs/>
                <w:color w:val="auto"/>
                <w:sz w:val="24"/>
                <w:lang w:val="en-US" w:eastAsia="zh-CN"/>
              </w:rPr>
              <w:t>211</w:t>
            </w:r>
            <w:r>
              <w:rPr>
                <w:rFonts w:hint="default" w:ascii="Times New Roman" w:hAnsi="Times New Roman" w:eastAsia="宋体" w:cs="Times New Roman"/>
                <w:bCs/>
                <w:color w:val="auto"/>
                <w:sz w:val="24"/>
              </w:rPr>
              <w:t>米，H</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S最大地面小时浓度为</w:t>
            </w:r>
            <w:r>
              <w:rPr>
                <w:rFonts w:hint="default" w:ascii="Times New Roman" w:hAnsi="Times New Roman" w:eastAsia="宋体" w:cs="Times New Roman"/>
                <w:bCs/>
                <w:color w:val="auto"/>
                <w:sz w:val="24"/>
                <w:lang w:val="en-US" w:eastAsia="zh-CN"/>
              </w:rPr>
              <w:t>0.00154</w:t>
            </w:r>
            <w:r>
              <w:rPr>
                <w:rFonts w:hint="default" w:ascii="Times New Roman" w:hAnsi="Times New Roman" w:eastAsia="宋体" w:cs="Times New Roman"/>
                <w:bCs/>
                <w:color w:val="auto"/>
                <w:sz w:val="24"/>
              </w:rPr>
              <w:t>ug/Nm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，占标率为</w:t>
            </w:r>
            <w:r>
              <w:rPr>
                <w:rFonts w:hint="default" w:ascii="Times New Roman" w:hAnsi="Times New Roman" w:eastAsia="宋体" w:cs="Times New Roman"/>
                <w:bCs/>
                <w:color w:val="auto"/>
                <w:sz w:val="24"/>
                <w:lang w:val="en-US" w:eastAsia="zh-CN"/>
              </w:rPr>
              <w:t>0.02</w:t>
            </w:r>
            <w:r>
              <w:rPr>
                <w:rFonts w:hint="default" w:ascii="Times New Roman" w:hAnsi="Times New Roman" w:eastAsia="宋体" w:cs="Times New Roman"/>
                <w:bCs/>
                <w:color w:val="auto"/>
                <w:sz w:val="24"/>
              </w:rPr>
              <w:t>%，最大地面浓度距离面源下风向</w:t>
            </w:r>
            <w:r>
              <w:rPr>
                <w:rFonts w:hint="default" w:ascii="Times New Roman" w:hAnsi="Times New Roman" w:eastAsia="宋体" w:cs="Times New Roman"/>
                <w:bCs/>
                <w:color w:val="auto"/>
                <w:sz w:val="24"/>
                <w:lang w:val="en-US" w:eastAsia="zh-CN"/>
              </w:rPr>
              <w:t>200</w:t>
            </w:r>
            <w:r>
              <w:rPr>
                <w:rFonts w:hint="default" w:ascii="Times New Roman" w:hAnsi="Times New Roman" w:eastAsia="宋体" w:cs="Times New Roman"/>
                <w:bCs/>
                <w:color w:val="auto"/>
                <w:sz w:val="24"/>
              </w:rPr>
              <w:t xml:space="preserve">米。 </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480" w:lineRule="exact"/>
              <w:ind w:left="0" w:leftChars="0" w:firstLine="480"/>
              <w:jc w:val="left"/>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结果显示，本项目建成后的最大地面浓度占标率为</w:t>
            </w:r>
            <w:r>
              <w:rPr>
                <w:rFonts w:hint="default" w:ascii="Times New Roman" w:hAnsi="Times New Roman" w:eastAsia="宋体" w:cs="Times New Roman"/>
                <w:bCs/>
                <w:color w:val="auto"/>
                <w:sz w:val="24"/>
                <w:lang w:val="en-US" w:eastAsia="zh-CN"/>
              </w:rPr>
              <w:t>0.02</w:t>
            </w:r>
            <w:r>
              <w:rPr>
                <w:rFonts w:hint="default" w:ascii="Times New Roman" w:hAnsi="Times New Roman" w:eastAsia="宋体" w:cs="Times New Roman"/>
                <w:bCs/>
                <w:color w:val="auto"/>
                <w:sz w:val="24"/>
              </w:rPr>
              <w:t>%，根据《环境影响评价技术导则 大气环境》（HJ2.2-2018）分级判据，确定本项目大气环境影响评价工作等级为三级。不需要进行进一步预测与评价，只对污染物排放量进行核算。</w:t>
            </w:r>
            <w:r>
              <w:rPr>
                <w:rFonts w:hint="default" w:ascii="Times New Roman" w:hAnsi="Times New Roman" w:eastAsia="宋体" w:cs="Times New Roman"/>
                <w:bCs/>
                <w:color w:val="auto"/>
                <w:sz w:val="24"/>
                <w:lang w:eastAsia="zh-CN"/>
              </w:rPr>
              <w:t>由于本项目的特殊性，为了解特征污染物的现状浓度，故对</w:t>
            </w:r>
            <w:r>
              <w:rPr>
                <w:rFonts w:hint="default" w:ascii="Times New Roman" w:hAnsi="Times New Roman" w:eastAsia="宋体" w:cs="Times New Roman"/>
                <w:bCs/>
                <w:color w:val="auto"/>
                <w:sz w:val="24"/>
              </w:rPr>
              <w:t>H</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S</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NH</w:t>
            </w:r>
            <w:r>
              <w:rPr>
                <w:rFonts w:hint="default" w:ascii="Times New Roman" w:hAnsi="Times New Roman" w:eastAsia="宋体" w:cs="Times New Roman"/>
                <w:bCs/>
                <w:color w:val="auto"/>
                <w:sz w:val="24"/>
                <w:vertAlign w:val="subscript"/>
              </w:rPr>
              <w:t>3</w:t>
            </w:r>
            <w:r>
              <w:rPr>
                <w:rFonts w:hint="default" w:ascii="Times New Roman" w:hAnsi="Times New Roman" w:eastAsia="宋体" w:cs="Times New Roman"/>
                <w:bCs/>
                <w:color w:val="auto"/>
                <w:sz w:val="24"/>
                <w:vertAlign w:val="baseline"/>
                <w:lang w:eastAsia="zh-CN"/>
              </w:rPr>
              <w:t>进行了现状监测。</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480" w:lineRule="exact"/>
              <w:ind w:left="0" w:leftChars="0" w:firstLine="48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（2）污染物排放量核算</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480" w:lineRule="exact"/>
              <w:ind w:left="0" w:leftChars="0" w:firstLine="48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本厂污染物排放量核算详见表7-13。</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w:t>
            </w:r>
            <w:r>
              <w:rPr>
                <w:rFonts w:hint="default" w:ascii="Times New Roman" w:hAnsi="Times New Roman" w:eastAsia="宋体" w:cs="Times New Roman"/>
                <w:b/>
                <w:color w:val="auto"/>
                <w:sz w:val="24"/>
                <w:lang w:val="en-US" w:eastAsia="zh-CN"/>
              </w:rPr>
              <w:t>13</w:t>
            </w:r>
            <w:r>
              <w:rPr>
                <w:rFonts w:hint="default" w:ascii="Times New Roman" w:hAnsi="Times New Roman" w:eastAsia="宋体" w:cs="Times New Roman"/>
                <w:b/>
                <w:color w:val="auto"/>
                <w:sz w:val="24"/>
                <w:lang w:val="pt-BR"/>
              </w:rPr>
              <w:t xml:space="preserve">  项目有组织预测结果统计表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5"/>
              <w:gridCol w:w="1296"/>
              <w:gridCol w:w="870"/>
              <w:gridCol w:w="2280"/>
              <w:gridCol w:w="2055"/>
              <w:gridCol w:w="1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9"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09"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476"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247"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24"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核算排放速率/（kg/h）</w:t>
                  </w:r>
                </w:p>
              </w:tc>
              <w:tc>
                <w:tcPr>
                  <w:tcW w:w="1073"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000" w:type="pct"/>
                  <w:gridSpan w:val="6"/>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9" w:type="pct"/>
                  <w:vMerge w:val="restar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9" w:type="pct"/>
                  <w:vMerge w:val="restar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47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p>
              </w:tc>
              <w:tc>
                <w:tcPr>
                  <w:tcW w:w="1247" w:type="pct"/>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0.02</w:t>
                  </w:r>
                </w:p>
              </w:tc>
              <w:tc>
                <w:tcPr>
                  <w:tcW w:w="1124" w:type="pct"/>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0.00068</w:t>
                  </w:r>
                </w:p>
              </w:tc>
              <w:tc>
                <w:tcPr>
                  <w:tcW w:w="1073" w:type="pct"/>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9" w:type="pct"/>
                  <w:vMerge w:val="continue"/>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p>
              </w:tc>
              <w:tc>
                <w:tcPr>
                  <w:tcW w:w="709" w:type="pct"/>
                  <w:vMerge w:val="continue"/>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p>
              </w:tc>
              <w:tc>
                <w:tcPr>
                  <w:tcW w:w="47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H</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S</w:t>
                  </w:r>
                </w:p>
              </w:tc>
              <w:tc>
                <w:tcPr>
                  <w:tcW w:w="1247" w:type="pct"/>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0.00064</w:t>
                  </w:r>
                </w:p>
              </w:tc>
              <w:tc>
                <w:tcPr>
                  <w:tcW w:w="1124" w:type="pct"/>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0.00002</w:t>
                  </w:r>
                </w:p>
              </w:tc>
              <w:tc>
                <w:tcPr>
                  <w:tcW w:w="1073" w:type="pct"/>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0.000168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78" w:type="pct"/>
                  <w:gridSpan w:val="2"/>
                  <w:vMerge w:val="restar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2847" w:type="pct"/>
                  <w:gridSpan w:val="3"/>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073"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78" w:type="pct"/>
                  <w:gridSpan w:val="2"/>
                  <w:vMerge w:val="continue"/>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p>
              </w:tc>
              <w:tc>
                <w:tcPr>
                  <w:tcW w:w="2847" w:type="pct"/>
                  <w:gridSpan w:val="3"/>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p>
              </w:tc>
              <w:tc>
                <w:tcPr>
                  <w:tcW w:w="1962" w:type="dxa"/>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78" w:type="pct"/>
                  <w:gridSpan w:val="2"/>
                  <w:vMerge w:val="continue"/>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p>
              </w:tc>
              <w:tc>
                <w:tcPr>
                  <w:tcW w:w="2847" w:type="pct"/>
                  <w:gridSpan w:val="3"/>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H</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S</w:t>
                  </w:r>
                </w:p>
              </w:tc>
              <w:tc>
                <w:tcPr>
                  <w:tcW w:w="1962" w:type="dxa"/>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0.000168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000" w:type="pct"/>
                  <w:gridSpan w:val="6"/>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78" w:type="pct"/>
                  <w:gridSpan w:val="2"/>
                  <w:vMerge w:val="restar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有组织排放总计</w:t>
                  </w:r>
                </w:p>
              </w:tc>
              <w:tc>
                <w:tcPr>
                  <w:tcW w:w="2847" w:type="pct"/>
                  <w:gridSpan w:val="3"/>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073" w:type="pct"/>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78" w:type="pct"/>
                  <w:gridSpan w:val="2"/>
                  <w:vMerge w:val="continue"/>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p>
              </w:tc>
              <w:tc>
                <w:tcPr>
                  <w:tcW w:w="2847" w:type="pct"/>
                  <w:gridSpan w:val="3"/>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p>
              </w:tc>
              <w:tc>
                <w:tcPr>
                  <w:tcW w:w="1962" w:type="dxa"/>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78" w:type="pct"/>
                  <w:gridSpan w:val="2"/>
                  <w:vMerge w:val="continue"/>
                  <w:noWrap w:val="0"/>
                  <w:vAlign w:val="center"/>
                </w:tcPr>
                <w:p>
                  <w:pPr>
                    <w:pStyle w:val="363"/>
                    <w:spacing w:line="240" w:lineRule="auto"/>
                    <w:ind w:firstLine="0" w:firstLineChars="0"/>
                    <w:jc w:val="center"/>
                    <w:rPr>
                      <w:rFonts w:hint="default" w:ascii="Times New Roman" w:hAnsi="Times New Roman" w:eastAsia="宋体" w:cs="Times New Roman"/>
                      <w:color w:val="auto"/>
                      <w:sz w:val="21"/>
                      <w:szCs w:val="21"/>
                    </w:rPr>
                  </w:pPr>
                </w:p>
              </w:tc>
              <w:tc>
                <w:tcPr>
                  <w:tcW w:w="2847" w:type="pct"/>
                  <w:gridSpan w:val="3"/>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H</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S</w:t>
                  </w:r>
                </w:p>
              </w:tc>
              <w:tc>
                <w:tcPr>
                  <w:tcW w:w="1962" w:type="dxa"/>
                  <w:noWrap w:val="0"/>
                  <w:vAlign w:val="center"/>
                </w:tcPr>
                <w:p>
                  <w:pPr>
                    <w:adjustRightInd w:val="0"/>
                    <w:spacing w:line="240" w:lineRule="auto"/>
                    <w:ind w:left="-53" w:leftChars="-25" w:right="-53" w:rightChars="-25"/>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0.000168</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（3）本项目大气环境影响评价自查表</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表7-14  本项目大气环境影响评价自查表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566"/>
              <w:gridCol w:w="932"/>
              <w:gridCol w:w="759"/>
              <w:gridCol w:w="24"/>
              <w:gridCol w:w="475"/>
              <w:gridCol w:w="96"/>
              <w:gridCol w:w="48"/>
              <w:gridCol w:w="390"/>
              <w:gridCol w:w="706"/>
              <w:gridCol w:w="80"/>
              <w:gridCol w:w="247"/>
              <w:gridCol w:w="137"/>
              <w:gridCol w:w="696"/>
              <w:gridCol w:w="165"/>
              <w:gridCol w:w="35"/>
              <w:gridCol w:w="156"/>
              <w:gridCol w:w="199"/>
              <w:gridCol w:w="360"/>
              <w:gridCol w:w="318"/>
              <w:gridCol w:w="10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8" w:type="dxa"/>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工作内容</w:t>
                  </w:r>
                </w:p>
              </w:tc>
              <w:tc>
                <w:tcPr>
                  <w:tcW w:w="6860" w:type="dxa"/>
                  <w:gridSpan w:val="1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等级与范围</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评价等级</w:t>
                  </w:r>
                </w:p>
              </w:tc>
              <w:tc>
                <w:tcPr>
                  <w:tcW w:w="2334"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一级□</w:t>
                  </w:r>
                </w:p>
              </w:tc>
              <w:tc>
                <w:tcPr>
                  <w:tcW w:w="2612" w:type="dxa"/>
                  <w:gridSpan w:val="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二级□</w:t>
                  </w:r>
                </w:p>
              </w:tc>
              <w:tc>
                <w:tcPr>
                  <w:tcW w:w="191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评价范围</w:t>
                  </w:r>
                </w:p>
              </w:tc>
              <w:tc>
                <w:tcPr>
                  <w:tcW w:w="2334"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边长=50km□</w:t>
                  </w:r>
                </w:p>
              </w:tc>
              <w:tc>
                <w:tcPr>
                  <w:tcW w:w="2612" w:type="dxa"/>
                  <w:gridSpan w:val="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边长=5~50km□</w:t>
                  </w:r>
                </w:p>
              </w:tc>
              <w:tc>
                <w:tcPr>
                  <w:tcW w:w="191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边长=5km</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因子</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SO</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+NOx排放量</w:t>
                  </w:r>
                </w:p>
              </w:tc>
              <w:tc>
                <w:tcPr>
                  <w:tcW w:w="2334"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≥2000t/a□</w:t>
                  </w:r>
                </w:p>
              </w:tc>
              <w:tc>
                <w:tcPr>
                  <w:tcW w:w="2612" w:type="dxa"/>
                  <w:gridSpan w:val="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500~2000t/a□</w:t>
                  </w:r>
                </w:p>
              </w:tc>
              <w:tc>
                <w:tcPr>
                  <w:tcW w:w="191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&lt;500t/a</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评价因子</w:t>
                  </w:r>
                </w:p>
              </w:tc>
              <w:tc>
                <w:tcPr>
                  <w:tcW w:w="3894" w:type="dxa"/>
                  <w:gridSpan w:val="11"/>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基本污染物（）</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其他污染物（氨气、硫化氢）</w:t>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包括二次PM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不包括二次PM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评价标准</w:t>
                  </w:r>
                </w:p>
              </w:tc>
              <w:tc>
                <w:tcPr>
                  <w:tcW w:w="1715"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国家标准</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1715" w:type="dxa"/>
                  <w:gridSpan w:val="5"/>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地方标准</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1715"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附录D</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1715"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评价功能区</w:t>
                  </w:r>
                </w:p>
              </w:tc>
              <w:tc>
                <w:tcPr>
                  <w:tcW w:w="2334"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一类区□</w:t>
                  </w:r>
                </w:p>
              </w:tc>
              <w:tc>
                <w:tcPr>
                  <w:tcW w:w="2421"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二类区</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2105"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一类区和二类区□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评价基准年</w:t>
                  </w:r>
                </w:p>
              </w:tc>
              <w:tc>
                <w:tcPr>
                  <w:tcW w:w="6860" w:type="dxa"/>
                  <w:gridSpan w:val="1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（2019）年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环境空</w:t>
                  </w:r>
                  <w:r>
                    <w:rPr>
                      <w:rFonts w:hint="default" w:ascii="Times New Roman" w:hAnsi="Times New Roman" w:eastAsia="宋体" w:cs="Times New Roman"/>
                      <w:color w:val="auto"/>
                      <w:kern w:val="0"/>
                      <w:sz w:val="21"/>
                      <w:szCs w:val="21"/>
                      <w:lang w:eastAsia="zh-CN"/>
                    </w:rPr>
                    <w:t>气</w:t>
                  </w:r>
                  <w:r>
                    <w:rPr>
                      <w:rFonts w:hint="default" w:ascii="Times New Roman" w:hAnsi="Times New Roman" w:eastAsia="宋体" w:cs="Times New Roman"/>
                      <w:color w:val="auto"/>
                      <w:kern w:val="0"/>
                      <w:sz w:val="21"/>
                      <w:szCs w:val="21"/>
                    </w:rPr>
                    <w:t>质量现状调查数据来源</w:t>
                  </w:r>
                </w:p>
              </w:tc>
              <w:tc>
                <w:tcPr>
                  <w:tcW w:w="2286" w:type="dxa"/>
                  <w:gridSpan w:val="5"/>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长期例行监测标准</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2304"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主管部门发布的数据标准□</w:t>
                  </w:r>
                </w:p>
              </w:tc>
              <w:tc>
                <w:tcPr>
                  <w:tcW w:w="2270"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现状补充标准</w:t>
                  </w:r>
                  <w:r>
                    <w:rPr>
                      <w:rFonts w:hint="default" w:ascii="Times New Roman" w:hAnsi="Times New Roman" w:eastAsia="宋体" w:cs="Times New Roman"/>
                      <w:color w:val="auto"/>
                      <w:kern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现状评价</w:t>
                  </w:r>
                </w:p>
              </w:tc>
              <w:tc>
                <w:tcPr>
                  <w:tcW w:w="3430"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达标区□</w:t>
                  </w:r>
                </w:p>
              </w:tc>
              <w:tc>
                <w:tcPr>
                  <w:tcW w:w="3430" w:type="dxa"/>
                  <w:gridSpan w:val="11"/>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不达标区</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源调查</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调查内容</w:t>
                  </w:r>
                </w:p>
              </w:tc>
              <w:tc>
                <w:tcPr>
                  <w:tcW w:w="2190"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本项目正常排放源</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本项目非正常排放源□</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现有污染源□</w:t>
                  </w:r>
                </w:p>
              </w:tc>
              <w:tc>
                <w:tcPr>
                  <w:tcW w:w="1567"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拟替代的污染源□</w:t>
                  </w:r>
                </w:p>
              </w:tc>
              <w:tc>
                <w:tcPr>
                  <w:tcW w:w="1748"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其他在建、拟建项目污染源□</w:t>
                  </w:r>
                </w:p>
              </w:tc>
              <w:tc>
                <w:tcPr>
                  <w:tcW w:w="1355" w:type="dxa"/>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区域污染源□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大气环境影响预测与评价</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预测模型</w:t>
                  </w:r>
                </w:p>
              </w:tc>
              <w:tc>
                <w:tcPr>
                  <w:tcW w:w="9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AERMOD□</w:t>
                  </w:r>
                </w:p>
              </w:tc>
              <w:tc>
                <w:tcPr>
                  <w:tcW w:w="75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ADMS□</w:t>
                  </w:r>
                </w:p>
              </w:tc>
              <w:tc>
                <w:tcPr>
                  <w:tcW w:w="1033" w:type="dxa"/>
                  <w:gridSpan w:val="5"/>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AUSTAL2000□</w:t>
                  </w:r>
                </w:p>
              </w:tc>
              <w:tc>
                <w:tcPr>
                  <w:tcW w:w="1033"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EDMS/AEDT□</w:t>
                  </w:r>
                </w:p>
              </w:tc>
              <w:tc>
                <w:tcPr>
                  <w:tcW w:w="1033"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CALPUFF□</w:t>
                  </w:r>
                </w:p>
              </w:tc>
              <w:tc>
                <w:tcPr>
                  <w:tcW w:w="1033"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网格模型□</w:t>
                  </w:r>
                </w:p>
              </w:tc>
              <w:tc>
                <w:tcPr>
                  <w:tcW w:w="10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预测范</w:t>
                  </w:r>
                </w:p>
              </w:tc>
              <w:tc>
                <w:tcPr>
                  <w:tcW w:w="2334"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边长≥50km□</w:t>
                  </w:r>
                </w:p>
              </w:tc>
              <w:tc>
                <w:tcPr>
                  <w:tcW w:w="2612" w:type="dxa"/>
                  <w:gridSpan w:val="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边长5~50km□</w:t>
                  </w:r>
                </w:p>
              </w:tc>
              <w:tc>
                <w:tcPr>
                  <w:tcW w:w="191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边长=5km</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预测因子</w:t>
                  </w:r>
                </w:p>
              </w:tc>
              <w:tc>
                <w:tcPr>
                  <w:tcW w:w="3894" w:type="dxa"/>
                  <w:gridSpan w:val="11"/>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预测因子（氨气、硫化氢）</w:t>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包括二次PM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不包括二次PM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正常排放短期浓度贡献值</w:t>
                  </w:r>
                </w:p>
              </w:tc>
              <w:tc>
                <w:tcPr>
                  <w:tcW w:w="3894" w:type="dxa"/>
                  <w:gridSpan w:val="11"/>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C本项目最大占标率≤100%</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C本项目最大占标率&gt;100%□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正常排放年均浓度贡献值</w:t>
                  </w:r>
                </w:p>
              </w:tc>
              <w:tc>
                <w:tcPr>
                  <w:tcW w:w="9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一类区</w:t>
                  </w:r>
                </w:p>
              </w:tc>
              <w:tc>
                <w:tcPr>
                  <w:tcW w:w="2962" w:type="dxa"/>
                  <w:gridSpan w:val="10"/>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本项目</w:t>
                  </w:r>
                  <w:r>
                    <w:rPr>
                      <w:rFonts w:hint="default" w:ascii="Times New Roman" w:hAnsi="Times New Roman" w:eastAsia="宋体" w:cs="Times New Roman"/>
                      <w:color w:val="auto"/>
                      <w:kern w:val="0"/>
                      <w:sz w:val="21"/>
                      <w:szCs w:val="21"/>
                    </w:rPr>
                    <w:t>最大占标率≤10%□</w:t>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本项目</w:t>
                  </w:r>
                  <w:r>
                    <w:rPr>
                      <w:rFonts w:hint="default" w:ascii="Times New Roman" w:hAnsi="Times New Roman" w:eastAsia="宋体" w:cs="Times New Roman"/>
                      <w:color w:val="auto"/>
                      <w:kern w:val="0"/>
                      <w:sz w:val="21"/>
                      <w:szCs w:val="21"/>
                    </w:rPr>
                    <w:t>最大占标率&gt;10%□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9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二类区</w:t>
                  </w:r>
                </w:p>
              </w:tc>
              <w:tc>
                <w:tcPr>
                  <w:tcW w:w="2962" w:type="dxa"/>
                  <w:gridSpan w:val="10"/>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本项目</w:t>
                  </w:r>
                  <w:r>
                    <w:rPr>
                      <w:rFonts w:hint="default" w:ascii="Times New Roman" w:hAnsi="Times New Roman" w:eastAsia="宋体" w:cs="Times New Roman"/>
                      <w:color w:val="auto"/>
                      <w:kern w:val="0"/>
                      <w:sz w:val="21"/>
                      <w:szCs w:val="21"/>
                    </w:rPr>
                    <w:t>最大占标率≤30%</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本项目</w:t>
                  </w:r>
                  <w:r>
                    <w:rPr>
                      <w:rFonts w:hint="default" w:ascii="Times New Roman" w:hAnsi="Times New Roman" w:eastAsia="宋体" w:cs="Times New Roman"/>
                      <w:color w:val="auto"/>
                      <w:kern w:val="0"/>
                      <w:sz w:val="21"/>
                      <w:szCs w:val="21"/>
                    </w:rPr>
                    <w:t>最大占标率&gt;30%□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非正常1h浓度贡献值</w:t>
                  </w:r>
                </w:p>
              </w:tc>
              <w:tc>
                <w:tcPr>
                  <w:tcW w:w="1691" w:type="dxa"/>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非正常持续时长</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（）h</w:t>
                  </w:r>
                </w:p>
              </w:tc>
              <w:tc>
                <w:tcPr>
                  <w:tcW w:w="3255" w:type="dxa"/>
                  <w:gridSpan w:val="13"/>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非正常</w:t>
                  </w:r>
                  <w:r>
                    <w:rPr>
                      <w:rFonts w:hint="default" w:ascii="Times New Roman" w:hAnsi="Times New Roman" w:eastAsia="宋体" w:cs="Times New Roman"/>
                      <w:color w:val="auto"/>
                      <w:kern w:val="0"/>
                      <w:sz w:val="21"/>
                      <w:szCs w:val="21"/>
                    </w:rPr>
                    <w:t>占标率≤100%□</w:t>
                  </w:r>
                </w:p>
              </w:tc>
              <w:tc>
                <w:tcPr>
                  <w:tcW w:w="191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非正常</w:t>
                  </w:r>
                  <w:r>
                    <w:rPr>
                      <w:rFonts w:hint="default" w:ascii="Times New Roman" w:hAnsi="Times New Roman" w:eastAsia="宋体" w:cs="Times New Roman"/>
                      <w:color w:val="auto"/>
                      <w:kern w:val="0"/>
                      <w:sz w:val="21"/>
                      <w:szCs w:val="21"/>
                    </w:rPr>
                    <w:t>占标率&gt;100%□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保证率日平均浓度和年平均浓度叠加值</w:t>
                  </w:r>
                </w:p>
              </w:tc>
              <w:tc>
                <w:tcPr>
                  <w:tcW w:w="3894" w:type="dxa"/>
                  <w:gridSpan w:val="11"/>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C叠加达标□</w:t>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C叠加不达标□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区域环境质量的整体变化情况</w:t>
                  </w:r>
                </w:p>
              </w:tc>
              <w:tc>
                <w:tcPr>
                  <w:tcW w:w="3894" w:type="dxa"/>
                  <w:gridSpan w:val="11"/>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k≤-20%□</w:t>
                  </w:r>
                </w:p>
              </w:tc>
              <w:tc>
                <w:tcPr>
                  <w:tcW w:w="2966" w:type="dxa"/>
                  <w:gridSpan w:val="8"/>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k&gt;-20%□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环境监测计划</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污染源监测</w:t>
                  </w:r>
                </w:p>
              </w:tc>
              <w:tc>
                <w:tcPr>
                  <w:tcW w:w="2724"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监测因子：（氨气、硫化氢）</w:t>
                  </w:r>
                </w:p>
              </w:tc>
              <w:tc>
                <w:tcPr>
                  <w:tcW w:w="2421" w:type="dxa"/>
                  <w:gridSpan w:val="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有组织废气监测□</w:t>
                  </w:r>
                </w:p>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无组织废气监测</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c>
                <w:tcPr>
                  <w:tcW w:w="1715"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环境质量监测</w:t>
                  </w:r>
                </w:p>
              </w:tc>
              <w:tc>
                <w:tcPr>
                  <w:tcW w:w="2724"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监测因子：（</w:t>
                  </w:r>
                  <w:r>
                    <w:rPr>
                      <w:rFonts w:hint="default"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rPr>
                    <w:t>）</w:t>
                  </w:r>
                </w:p>
              </w:tc>
              <w:tc>
                <w:tcPr>
                  <w:tcW w:w="2421" w:type="dxa"/>
                  <w:gridSpan w:val="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监测点位数（）</w:t>
                  </w:r>
                </w:p>
              </w:tc>
              <w:tc>
                <w:tcPr>
                  <w:tcW w:w="1715"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无监测</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评价结论</w:t>
                  </w: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环境影响</w:t>
                  </w:r>
                </w:p>
              </w:tc>
              <w:tc>
                <w:tcPr>
                  <w:tcW w:w="6860" w:type="dxa"/>
                  <w:gridSpan w:val="1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可以接受</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eq \o\ac(</w:instrText>
                  </w:r>
                  <w:r>
                    <w:rPr>
                      <w:rFonts w:hint="default" w:ascii="Times New Roman" w:hAnsi="Times New Roman" w:eastAsia="宋体" w:cs="Times New Roman"/>
                      <w:color w:val="auto"/>
                      <w:kern w:val="0"/>
                      <w:position w:val="-4"/>
                      <w:sz w:val="31"/>
                      <w:szCs w:val="21"/>
                    </w:rPr>
                    <w:instrText xml:space="preserve">□</w:instrText>
                  </w:r>
                  <w:r>
                    <w:rPr>
                      <w:rFonts w:hint="default" w:ascii="Times New Roman" w:hAnsi="Times New Roman" w:eastAsia="宋体" w:cs="Times New Roman"/>
                      <w:color w:val="auto"/>
                      <w:kern w:val="0"/>
                      <w:position w:val="0"/>
                      <w:sz w:val="21"/>
                      <w:szCs w:val="21"/>
                    </w:rPr>
                    <w:instrText xml:space="preserve">,√)</w:instrTex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不可以接受□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大气环境防护距离</w:t>
                  </w:r>
                </w:p>
              </w:tc>
              <w:tc>
                <w:tcPr>
                  <w:tcW w:w="6860" w:type="dxa"/>
                  <w:gridSpan w:val="19"/>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rPr>
                  </w:pPr>
                </w:p>
              </w:tc>
              <w:tc>
                <w:tcPr>
                  <w:tcW w:w="156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污染源年排放量</w:t>
                  </w:r>
                </w:p>
              </w:tc>
              <w:tc>
                <w:tcPr>
                  <w:tcW w:w="1691" w:type="dxa"/>
                  <w:gridSpan w:val="2"/>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rPr>
                    <w:t>NH</w:t>
                  </w:r>
                  <w:r>
                    <w:rPr>
                      <w:rFonts w:hint="default" w:ascii="Times New Roman" w:hAnsi="Times New Roman" w:eastAsia="宋体" w:cs="Times New Roman"/>
                      <w:bCs/>
                      <w:color w:val="auto"/>
                      <w:kern w:val="0"/>
                      <w:sz w:val="21"/>
                      <w:szCs w:val="21"/>
                      <w:vertAlign w:val="subscript"/>
                    </w:rPr>
                    <w:t>3</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0.006</w:t>
                  </w:r>
                  <w:r>
                    <w:rPr>
                      <w:rFonts w:hint="default" w:ascii="Times New Roman" w:hAnsi="Times New Roman" w:eastAsia="宋体" w:cs="Times New Roman"/>
                      <w:color w:val="auto"/>
                      <w:kern w:val="0"/>
                      <w:sz w:val="21"/>
                      <w:szCs w:val="21"/>
                    </w:rPr>
                    <w:t>)t/a</w:t>
                  </w:r>
                </w:p>
              </w:tc>
              <w:tc>
                <w:tcPr>
                  <w:tcW w:w="1819" w:type="dxa"/>
                  <w:gridSpan w:val="7"/>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rPr>
                    <w:t>H</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S</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bCs/>
                      <w:color w:val="auto"/>
                      <w:sz w:val="21"/>
                      <w:szCs w:val="21"/>
                      <w:lang w:val="en-US" w:eastAsia="zh-CN"/>
                    </w:rPr>
                    <w:t>0.000168</w:t>
                  </w:r>
                  <w:r>
                    <w:rPr>
                      <w:rFonts w:hint="default" w:ascii="Times New Roman" w:hAnsi="Times New Roman" w:eastAsia="宋体" w:cs="Times New Roman"/>
                      <w:color w:val="auto"/>
                      <w:kern w:val="0"/>
                      <w:sz w:val="21"/>
                      <w:szCs w:val="21"/>
                    </w:rPr>
                    <w:t>)t/a</w:t>
                  </w:r>
                </w:p>
              </w:tc>
              <w:tc>
                <w:tcPr>
                  <w:tcW w:w="1436" w:type="dxa"/>
                  <w:gridSpan w:val="6"/>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颗粒物:(0)t/a</w:t>
                  </w:r>
                </w:p>
              </w:tc>
              <w:tc>
                <w:tcPr>
                  <w:tcW w:w="191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非甲烷总烃:(</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kern w:val="0"/>
                      <w:sz w:val="21"/>
                      <w:szCs w:val="21"/>
                    </w:rPr>
                    <w:t>)t/a</w:t>
                  </w:r>
                </w:p>
              </w:tc>
            </w:tr>
          </w:tbl>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7.2.2地表水环境影响分析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尾水：本项目为生活污水应急处理站项目，设计规模为3000m³/d；</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生活污水：根据《山西省用水定额》（DB 14/T1049.3-2015），</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不设置宿舍、食堂，用水定额按15L/人·d。</w:t>
            </w:r>
            <w:bookmarkStart w:id="16" w:name="_Hlk521058748"/>
            <w:r>
              <w:rPr>
                <w:rFonts w:hint="default" w:ascii="Times New Roman" w:hAnsi="Times New Roman" w:eastAsia="宋体" w:cs="Times New Roman"/>
                <w:color w:val="auto"/>
                <w:sz w:val="24"/>
              </w:rPr>
              <w:t>项目职工定员20人，则生活用水量为0.3m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/d（109.5m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/a），排放量按80%计算，则排放量为0.24m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/d（87.6m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/a），进入污水处理系统。</w:t>
            </w:r>
            <w:bookmarkEnd w:id="1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本项目处理后的COD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、TP、NH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-N执行</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标准，其余指标执行</w:t>
            </w:r>
            <w:r>
              <w:rPr>
                <w:rFonts w:hint="default" w:ascii="Times New Roman" w:hAnsi="Times New Roman" w:eastAsia="宋体" w:cs="Times New Roman"/>
                <w:color w:val="auto"/>
                <w:sz w:val="24"/>
                <w:lang w:eastAsia="zh-CN"/>
              </w:rPr>
              <w:t>《城镇污水处理站污染物排放标准》</w:t>
            </w:r>
            <w:r>
              <w:rPr>
                <w:rFonts w:hint="default" w:ascii="Times New Roman" w:hAnsi="Times New Roman" w:eastAsia="宋体" w:cs="Times New Roman"/>
                <w:color w:val="auto"/>
                <w:sz w:val="24"/>
              </w:rPr>
              <w:t>（GB18918-2002）一级A标准。</w:t>
            </w:r>
            <w:r>
              <w:rPr>
                <w:rFonts w:hint="default" w:ascii="Times New Roman" w:hAnsi="Times New Roman" w:eastAsia="宋体" w:cs="Times New Roman"/>
                <w:color w:val="auto"/>
                <w:sz w:val="24"/>
                <w:lang w:eastAsia="zh-CN"/>
              </w:rPr>
              <w:t>出水指标见表</w:t>
            </w:r>
            <w:r>
              <w:rPr>
                <w:rFonts w:hint="default" w:ascii="Times New Roman" w:hAnsi="Times New Roman" w:eastAsia="宋体" w:cs="Times New Roman"/>
                <w:color w:val="auto"/>
                <w:sz w:val="24"/>
                <w:lang w:val="en-US" w:eastAsia="zh-CN"/>
              </w:rPr>
              <w:t>7-15；</w:t>
            </w:r>
            <w:r>
              <w:rPr>
                <w:rFonts w:hint="default" w:ascii="Times New Roman" w:hAnsi="Times New Roman" w:eastAsia="宋体" w:cs="Times New Roman"/>
                <w:color w:val="auto"/>
                <w:sz w:val="24"/>
              </w:rPr>
              <w:t>尾水稳定达标排放浓度和源强见表7-1</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 xml:space="preserve">7-15  </w:t>
            </w:r>
            <w:r>
              <w:rPr>
                <w:rFonts w:hint="default" w:ascii="Times New Roman" w:hAnsi="Times New Roman" w:eastAsia="宋体" w:cs="Times New Roman"/>
                <w:b/>
                <w:color w:val="auto"/>
                <w:sz w:val="24"/>
                <w:lang w:eastAsia="zh-CN"/>
              </w:rPr>
              <w:t>本项目</w:t>
            </w:r>
            <w:r>
              <w:rPr>
                <w:rFonts w:hint="default" w:ascii="Times New Roman" w:hAnsi="Times New Roman" w:eastAsia="宋体" w:cs="Times New Roman"/>
                <w:b/>
                <w:color w:val="auto"/>
                <w:sz w:val="24"/>
              </w:rPr>
              <w:t>出水水质主要指标</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559"/>
              <w:gridCol w:w="1170"/>
              <w:gridCol w:w="1125"/>
              <w:gridCol w:w="1155"/>
              <w:gridCol w:w="1140"/>
              <w:gridCol w:w="1096"/>
              <w:gridCol w:w="12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44" w:type="dxa"/>
                  <w:vMerge w:val="restart"/>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61" w:type="dxa"/>
                  <w:vMerge w:val="restart"/>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983" w:type="dxa"/>
                  <w:gridSpan w:val="6"/>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各项污染物指标平均浓度(mg/L)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44" w:type="dxa"/>
                  <w:vMerge w:val="continue"/>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61" w:type="dxa"/>
                  <w:vMerge w:val="continue"/>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117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COD</w:t>
                  </w:r>
                  <w:r>
                    <w:rPr>
                      <w:rFonts w:hint="default" w:ascii="Times New Roman" w:hAnsi="Times New Roman" w:eastAsia="宋体" w:cs="Times New Roman"/>
                      <w:color w:val="auto"/>
                      <w:kern w:val="0"/>
                      <w:sz w:val="21"/>
                      <w:szCs w:val="21"/>
                      <w:vertAlign w:val="subscript"/>
                    </w:rPr>
                    <w:t>Cr</w:t>
                  </w:r>
                </w:p>
              </w:tc>
              <w:tc>
                <w:tcPr>
                  <w:tcW w:w="112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115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SS</w:t>
                  </w:r>
                </w:p>
              </w:tc>
              <w:tc>
                <w:tcPr>
                  <w:tcW w:w="114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TP</w:t>
                  </w:r>
                </w:p>
              </w:tc>
              <w:tc>
                <w:tcPr>
                  <w:tcW w:w="109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29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744"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61"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出水水质</w:t>
                  </w:r>
                </w:p>
              </w:tc>
              <w:tc>
                <w:tcPr>
                  <w:tcW w:w="117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40</w:t>
                  </w:r>
                </w:p>
              </w:tc>
              <w:tc>
                <w:tcPr>
                  <w:tcW w:w="112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w:t>
                  </w:r>
                </w:p>
              </w:tc>
              <w:tc>
                <w:tcPr>
                  <w:tcW w:w="115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w:t>
                  </w:r>
                </w:p>
              </w:tc>
              <w:tc>
                <w:tcPr>
                  <w:tcW w:w="1140"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0.4</w:t>
                  </w:r>
                </w:p>
              </w:tc>
              <w:tc>
                <w:tcPr>
                  <w:tcW w:w="1095"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15</w:t>
                  </w:r>
                </w:p>
              </w:tc>
              <w:tc>
                <w:tcPr>
                  <w:tcW w:w="1298" w:type="dxa"/>
                  <w:tcBorders>
                    <w:tl2br w:val="nil"/>
                    <w:tr2bl w:val="nil"/>
                  </w:tcBorders>
                  <w:noWrap/>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则本项目：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rPr>
              <w:t>COD</w:t>
            </w:r>
            <w:r>
              <w:rPr>
                <w:rFonts w:hint="default" w:ascii="Times New Roman" w:hAnsi="Times New Roman" w:eastAsia="宋体" w:cs="Times New Roman"/>
                <w:color w:val="auto"/>
                <w:kern w:val="0"/>
                <w:sz w:val="24"/>
                <w:szCs w:val="24"/>
                <w:vertAlign w:val="subscript"/>
              </w:rPr>
              <w:t>Cr</w:t>
            </w:r>
            <w:r>
              <w:rPr>
                <w:rFonts w:hint="default" w:ascii="Times New Roman" w:hAnsi="Times New Roman" w:eastAsia="宋体" w:cs="Times New Roman"/>
                <w:color w:val="auto"/>
                <w:kern w:val="0"/>
                <w:sz w:val="24"/>
                <w:szCs w:val="24"/>
                <w:vertAlign w:val="baseline"/>
                <w:lang w:eastAsia="zh-CN"/>
              </w:rPr>
              <w:t>排放量为：</w:t>
            </w:r>
            <w:r>
              <w:rPr>
                <w:rFonts w:hint="default" w:ascii="Times New Roman" w:hAnsi="Times New Roman" w:eastAsia="宋体" w:cs="Times New Roman"/>
                <w:color w:val="auto"/>
                <w:kern w:val="0"/>
                <w:sz w:val="24"/>
                <w:szCs w:val="24"/>
                <w:vertAlign w:val="baseline"/>
                <w:lang w:val="en-US" w:eastAsia="zh-CN"/>
              </w:rPr>
              <w:t>3000</w:t>
            </w:r>
            <w:r>
              <w:rPr>
                <w:rFonts w:hint="default" w:ascii="Times New Roman" w:hAnsi="Times New Roman" w:eastAsia="宋体" w:cs="Times New Roman"/>
                <w:color w:val="auto"/>
                <w:sz w:val="24"/>
              </w:rPr>
              <w:t>m³/d</w:t>
            </w:r>
            <w:r>
              <w:rPr>
                <w:rFonts w:hint="default" w:ascii="Times New Roman" w:hAnsi="Times New Roman" w:eastAsia="宋体" w:cs="Times New Roman"/>
                <w:color w:val="auto"/>
                <w:sz w:val="24"/>
                <w:lang w:val="en-US" w:eastAsia="zh-CN"/>
              </w:rPr>
              <w:t>×365d×40mg/L÷10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=43.8t/a；</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rPr>
              <w:t>BOD</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vertAlign w:val="baseline"/>
                <w:lang w:eastAsia="zh-CN"/>
              </w:rPr>
              <w:t>排放量为：</w:t>
            </w:r>
            <w:r>
              <w:rPr>
                <w:rFonts w:hint="default" w:ascii="Times New Roman" w:hAnsi="Times New Roman" w:eastAsia="宋体" w:cs="Times New Roman"/>
                <w:color w:val="auto"/>
                <w:kern w:val="0"/>
                <w:sz w:val="24"/>
                <w:szCs w:val="24"/>
                <w:vertAlign w:val="baseline"/>
                <w:lang w:val="en-US" w:eastAsia="zh-CN"/>
              </w:rPr>
              <w:t>3000</w:t>
            </w:r>
            <w:r>
              <w:rPr>
                <w:rFonts w:hint="default" w:ascii="Times New Roman" w:hAnsi="Times New Roman" w:eastAsia="宋体" w:cs="Times New Roman"/>
                <w:color w:val="auto"/>
                <w:sz w:val="24"/>
              </w:rPr>
              <w:t>m³/d</w:t>
            </w:r>
            <w:r>
              <w:rPr>
                <w:rFonts w:hint="default" w:ascii="Times New Roman" w:hAnsi="Times New Roman" w:eastAsia="宋体" w:cs="Times New Roman"/>
                <w:color w:val="auto"/>
                <w:sz w:val="24"/>
                <w:lang w:val="en-US" w:eastAsia="zh-CN"/>
              </w:rPr>
              <w:t>×365d×10mg/L÷10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=10.95t/a；</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rPr>
              <w:t>SS</w:t>
            </w:r>
            <w:r>
              <w:rPr>
                <w:rFonts w:hint="default" w:ascii="Times New Roman" w:hAnsi="Times New Roman" w:eastAsia="宋体" w:cs="Times New Roman"/>
                <w:color w:val="auto"/>
                <w:kern w:val="0"/>
                <w:sz w:val="24"/>
                <w:szCs w:val="24"/>
                <w:vertAlign w:val="baseline"/>
                <w:lang w:eastAsia="zh-CN"/>
              </w:rPr>
              <w:t>排放量为：</w:t>
            </w:r>
            <w:r>
              <w:rPr>
                <w:rFonts w:hint="default" w:ascii="Times New Roman" w:hAnsi="Times New Roman" w:eastAsia="宋体" w:cs="Times New Roman"/>
                <w:color w:val="auto"/>
                <w:kern w:val="0"/>
                <w:sz w:val="24"/>
                <w:szCs w:val="24"/>
                <w:vertAlign w:val="baseline"/>
                <w:lang w:val="en-US" w:eastAsia="zh-CN"/>
              </w:rPr>
              <w:t>3000</w:t>
            </w:r>
            <w:r>
              <w:rPr>
                <w:rFonts w:hint="default" w:ascii="Times New Roman" w:hAnsi="Times New Roman" w:eastAsia="宋体" w:cs="Times New Roman"/>
                <w:color w:val="auto"/>
                <w:sz w:val="24"/>
              </w:rPr>
              <w:t>m³/d</w:t>
            </w:r>
            <w:r>
              <w:rPr>
                <w:rFonts w:hint="default" w:ascii="Times New Roman" w:hAnsi="Times New Roman" w:eastAsia="宋体" w:cs="Times New Roman"/>
                <w:color w:val="auto"/>
                <w:sz w:val="24"/>
                <w:lang w:val="en-US" w:eastAsia="zh-CN"/>
              </w:rPr>
              <w:t>×365d×10mg/L÷10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=10.95t/a；</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rPr>
              <w:t>TP</w:t>
            </w:r>
            <w:r>
              <w:rPr>
                <w:rFonts w:hint="default" w:ascii="Times New Roman" w:hAnsi="Times New Roman" w:eastAsia="宋体" w:cs="Times New Roman"/>
                <w:color w:val="auto"/>
                <w:kern w:val="0"/>
                <w:sz w:val="24"/>
                <w:szCs w:val="24"/>
                <w:vertAlign w:val="baseline"/>
                <w:lang w:eastAsia="zh-CN"/>
              </w:rPr>
              <w:t>排放量为：</w:t>
            </w:r>
            <w:r>
              <w:rPr>
                <w:rFonts w:hint="default" w:ascii="Times New Roman" w:hAnsi="Times New Roman" w:eastAsia="宋体" w:cs="Times New Roman"/>
                <w:color w:val="auto"/>
                <w:kern w:val="0"/>
                <w:sz w:val="24"/>
                <w:szCs w:val="24"/>
                <w:vertAlign w:val="baseline"/>
                <w:lang w:val="en-US" w:eastAsia="zh-CN"/>
              </w:rPr>
              <w:t>3000</w:t>
            </w:r>
            <w:r>
              <w:rPr>
                <w:rFonts w:hint="default" w:ascii="Times New Roman" w:hAnsi="Times New Roman" w:eastAsia="宋体" w:cs="Times New Roman"/>
                <w:color w:val="auto"/>
                <w:sz w:val="24"/>
              </w:rPr>
              <w:t>m³/d</w:t>
            </w:r>
            <w:r>
              <w:rPr>
                <w:rFonts w:hint="default" w:ascii="Times New Roman" w:hAnsi="Times New Roman" w:eastAsia="宋体" w:cs="Times New Roman"/>
                <w:color w:val="auto"/>
                <w:sz w:val="24"/>
                <w:lang w:val="en-US" w:eastAsia="zh-CN"/>
              </w:rPr>
              <w:t>×365d×0.4mg/L÷10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=0.438t/a；</w:t>
            </w:r>
          </w:p>
          <w:p>
            <w:pPr>
              <w:pStyle w:val="2"/>
              <w:keepNext w:val="0"/>
              <w:keepLines w:val="0"/>
              <w:pageBreakBefore w:val="0"/>
              <w:widowControl w:val="0"/>
              <w:tabs>
                <w:tab w:val="left" w:pos="7500"/>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szCs w:val="24"/>
                <w:lang w:val="en-US" w:eastAsia="zh-CN"/>
              </w:rPr>
              <w:t>TN</w:t>
            </w:r>
            <w:r>
              <w:rPr>
                <w:rFonts w:hint="default" w:ascii="Times New Roman" w:hAnsi="Times New Roman" w:eastAsia="宋体" w:cs="Times New Roman"/>
                <w:color w:val="auto"/>
                <w:kern w:val="0"/>
                <w:sz w:val="24"/>
                <w:szCs w:val="24"/>
                <w:vertAlign w:val="baseline"/>
                <w:lang w:eastAsia="zh-CN"/>
              </w:rPr>
              <w:t>排放量为：</w:t>
            </w:r>
            <w:r>
              <w:rPr>
                <w:rFonts w:hint="default" w:ascii="Times New Roman" w:hAnsi="Times New Roman" w:eastAsia="宋体" w:cs="Times New Roman"/>
                <w:color w:val="auto"/>
                <w:kern w:val="0"/>
                <w:sz w:val="24"/>
                <w:szCs w:val="24"/>
                <w:vertAlign w:val="baseline"/>
                <w:lang w:val="en-US" w:eastAsia="zh-CN"/>
              </w:rPr>
              <w:t>3000</w:t>
            </w:r>
            <w:r>
              <w:rPr>
                <w:rFonts w:hint="default" w:ascii="Times New Roman" w:hAnsi="Times New Roman" w:eastAsia="宋体" w:cs="Times New Roman"/>
                <w:color w:val="auto"/>
                <w:sz w:val="24"/>
              </w:rPr>
              <w:t>m³/d</w:t>
            </w:r>
            <w:r>
              <w:rPr>
                <w:rFonts w:hint="default" w:ascii="Times New Roman" w:hAnsi="Times New Roman" w:eastAsia="宋体" w:cs="Times New Roman"/>
                <w:color w:val="auto"/>
                <w:sz w:val="24"/>
                <w:lang w:val="en-US" w:eastAsia="zh-CN"/>
              </w:rPr>
              <w:t>×365d×15mg/L÷10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=16.425t/a；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color w:val="auto"/>
                <w:kern w:val="0"/>
                <w:sz w:val="24"/>
                <w:szCs w:val="24"/>
                <w:vertAlign w:val="baseline"/>
                <w:lang w:eastAsia="zh-CN"/>
              </w:rPr>
              <w:t>NH</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vertAlign w:val="baseline"/>
                <w:lang w:eastAsia="zh-CN"/>
              </w:rPr>
              <w:t>-N排放量为：</w:t>
            </w:r>
            <w:r>
              <w:rPr>
                <w:rFonts w:hint="default" w:ascii="Times New Roman" w:hAnsi="Times New Roman" w:eastAsia="宋体" w:cs="Times New Roman"/>
                <w:color w:val="auto"/>
                <w:kern w:val="0"/>
                <w:sz w:val="24"/>
                <w:szCs w:val="24"/>
                <w:vertAlign w:val="baseline"/>
                <w:lang w:val="en-US" w:eastAsia="zh-CN"/>
              </w:rPr>
              <w:t>3000</w:t>
            </w:r>
            <w:r>
              <w:rPr>
                <w:rFonts w:hint="default" w:ascii="Times New Roman" w:hAnsi="Times New Roman" w:eastAsia="宋体" w:cs="Times New Roman"/>
                <w:color w:val="auto"/>
                <w:sz w:val="24"/>
              </w:rPr>
              <w:t>m³/d</w:t>
            </w:r>
            <w:r>
              <w:rPr>
                <w:rFonts w:hint="default" w:ascii="Times New Roman" w:hAnsi="Times New Roman" w:eastAsia="宋体" w:cs="Times New Roman"/>
                <w:color w:val="auto"/>
                <w:sz w:val="24"/>
                <w:lang w:val="en-US" w:eastAsia="zh-CN"/>
              </w:rPr>
              <w:t>×365d×2mg/L÷10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=2.19t/a。</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表7-1</w:t>
            </w:r>
            <w:r>
              <w:rPr>
                <w:rFonts w:hint="default" w:ascii="Times New Roman" w:hAnsi="Times New Roman" w:eastAsia="宋体" w:cs="Times New Roman"/>
                <w:b/>
                <w:color w:val="auto"/>
                <w:sz w:val="24"/>
                <w:lang w:val="en-US" w:eastAsia="zh-CN"/>
              </w:rPr>
              <w:t xml:space="preserve">6  </w:t>
            </w:r>
            <w:r>
              <w:rPr>
                <w:rFonts w:hint="default" w:ascii="Times New Roman" w:hAnsi="Times New Roman" w:eastAsia="宋体" w:cs="Times New Roman"/>
                <w:b/>
                <w:color w:val="auto"/>
                <w:sz w:val="24"/>
                <w:lang w:val="pt-BR"/>
              </w:rPr>
              <w:t>尾水及生活污水排放污染源强表</w:t>
            </w:r>
          </w:p>
          <w:tbl>
            <w:tblPr>
              <w:tblStyle w:val="77"/>
              <w:tblW w:w="924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20"/>
              <w:gridCol w:w="1575"/>
              <w:gridCol w:w="2234"/>
              <w:gridCol w:w="24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废水排放量（m³/d）</w:t>
                  </w: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w:t>
                  </w:r>
                </w:p>
              </w:tc>
              <w:tc>
                <w:tcPr>
                  <w:tcW w:w="2234"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浓度（mg/l）</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排放源强（t/a）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vMerge w:val="restart"/>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尾水3000m³/d</w:t>
                  </w: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CODcr</w:t>
                  </w:r>
                </w:p>
              </w:tc>
              <w:tc>
                <w:tcPr>
                  <w:tcW w:w="2234" w:type="dxa"/>
                  <w:noWrap/>
                  <w:vAlign w:val="center"/>
                </w:tcPr>
                <w:p>
                  <w:pPr>
                    <w:pStyle w:val="383"/>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40</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vMerge w:val="continue"/>
                  <w:noWrap/>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2234" w:type="dxa"/>
                  <w:noWrap/>
                  <w:vAlign w:val="center"/>
                </w:tcPr>
                <w:p>
                  <w:pPr>
                    <w:pStyle w:val="383"/>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10</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vMerge w:val="continue"/>
                  <w:noWrap/>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2234" w:type="dxa"/>
                  <w:noWrap/>
                  <w:vAlign w:val="center"/>
                </w:tcPr>
                <w:p>
                  <w:pPr>
                    <w:pStyle w:val="383"/>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10</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vMerge w:val="continue"/>
                  <w:noWrap/>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TP</w:t>
                  </w:r>
                </w:p>
              </w:tc>
              <w:tc>
                <w:tcPr>
                  <w:tcW w:w="2234" w:type="dxa"/>
                  <w:noWrap/>
                  <w:vAlign w:val="center"/>
                </w:tcPr>
                <w:p>
                  <w:pPr>
                    <w:pStyle w:val="383"/>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0.4</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0.438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vMerge w:val="continue"/>
                  <w:noWrap/>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TN</w:t>
                  </w:r>
                </w:p>
              </w:tc>
              <w:tc>
                <w:tcPr>
                  <w:tcW w:w="2234" w:type="dxa"/>
                  <w:noWrap/>
                  <w:vAlign w:val="center"/>
                </w:tcPr>
                <w:p>
                  <w:pPr>
                    <w:pStyle w:val="383"/>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16.425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0" w:type="dxa"/>
                  <w:vMerge w:val="continue"/>
                  <w:noWrap/>
                  <w:vAlign w:val="center"/>
                </w:tcPr>
                <w:p>
                  <w:pPr>
                    <w:widowControl/>
                    <w:spacing w:line="240" w:lineRule="auto"/>
                    <w:jc w:val="center"/>
                    <w:rPr>
                      <w:rFonts w:hint="default" w:ascii="Times New Roman" w:hAnsi="Times New Roman" w:eastAsia="宋体" w:cs="Times New Roman"/>
                      <w:color w:val="auto"/>
                      <w:kern w:val="0"/>
                      <w:sz w:val="21"/>
                      <w:szCs w:val="21"/>
                    </w:rPr>
                  </w:pPr>
                </w:p>
              </w:tc>
              <w:tc>
                <w:tcPr>
                  <w:tcW w:w="1575" w:type="dxa"/>
                  <w:noWrap/>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2234" w:type="dxa"/>
                  <w:noWrap/>
                  <w:vAlign w:val="center"/>
                </w:tcPr>
                <w:p>
                  <w:pPr>
                    <w:pStyle w:val="383"/>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w:t>
                  </w:r>
                </w:p>
              </w:tc>
              <w:tc>
                <w:tcPr>
                  <w:tcW w:w="2412" w:type="dxa"/>
                  <w:noWrap/>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2.19</w:t>
                  </w:r>
                </w:p>
              </w:tc>
            </w:tr>
          </w:tbl>
          <w:p>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地表水环境影响分析具体内容见地表水专题。</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7.2.3地下水水环境影响分析</w:t>
            </w:r>
          </w:p>
          <w:p>
            <w:pPr>
              <w:keepNext w:val="0"/>
              <w:keepLines w:val="0"/>
              <w:pageBreakBefore w:val="0"/>
              <w:widowControl w:val="0"/>
              <w:kinsoku/>
              <w:wordWrap/>
              <w:overflowPunct/>
              <w:topLinePunct w:val="0"/>
              <w:bidi w:val="0"/>
              <w:adjustRightInd w:val="0"/>
              <w:snapToGrid w:val="0"/>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（1）根据《环境影响评价技术导则  地下水环境》（HJ610-2016）附录A地下水环境影响评价行业分类表，确定地下水环境影响评价项目类别：U 生活污水集中处理-报告表Ⅲ类。</w:t>
            </w:r>
          </w:p>
          <w:p>
            <w:pPr>
              <w:keepNext w:val="0"/>
              <w:keepLines w:val="0"/>
              <w:pageBreakBefore w:val="0"/>
              <w:widowControl w:val="0"/>
              <w:kinsoku/>
              <w:wordWrap/>
              <w:overflowPunct/>
              <w:topLinePunct w:val="0"/>
              <w:bidi w:val="0"/>
              <w:adjustRightInd w:val="0"/>
              <w:snapToGrid w:val="0"/>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评价范围内无集中供水水源地，也无特殊地下水资源保护区，但存在分散式饮用水水源地，因此环境敏感程度确定为“较敏感”。因此，根据项目类别划分和地下水环境敏感程度分级，确定评价工作等级为三级。</w:t>
            </w:r>
          </w:p>
          <w:p>
            <w:pPr>
              <w:keepNext w:val="0"/>
              <w:keepLines w:val="0"/>
              <w:pageBreakBefore w:val="0"/>
              <w:widowControl w:val="0"/>
              <w:kinsoku/>
              <w:wordWrap/>
              <w:overflowPunct/>
              <w:topLinePunct w:val="0"/>
              <w:bidi w:val="0"/>
              <w:adjustRightInd w:val="0"/>
              <w:snapToGrid w:val="0"/>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由监测结果可知监测点位的地下水质量现状各项指标均满足《地下水质量标准》（GB/T14848－2017）中III类水标准要求。</w:t>
            </w:r>
          </w:p>
          <w:p>
            <w:pPr>
              <w:keepNext w:val="0"/>
              <w:keepLines w:val="0"/>
              <w:pageBreakBefore w:val="0"/>
              <w:widowControl w:val="0"/>
              <w:kinsoku/>
              <w:wordWrap/>
              <w:overflowPunct/>
              <w:topLinePunct w:val="0"/>
              <w:bidi w:val="0"/>
              <w:adjustRightInd w:val="0"/>
              <w:snapToGrid w:val="0"/>
              <w:spacing w:line="480" w:lineRule="exact"/>
              <w:ind w:firstLine="480"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Cs/>
                <w:color w:val="auto"/>
                <w:sz w:val="24"/>
                <w:lang w:eastAsia="zh-CN"/>
              </w:rPr>
              <w:t>本项目废水经处理后直接排入滹沱河，为避免事故状态下对地下水造成不利影响，</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bCs/>
                <w:color w:val="auto"/>
                <w:sz w:val="24"/>
                <w:lang w:eastAsia="zh-CN"/>
              </w:rPr>
              <w:t>各类池体均采取防渗措施，不会对地下水产生不利影响，</w:t>
            </w:r>
            <w:r>
              <w:rPr>
                <w:rFonts w:hint="default" w:ascii="Times New Roman" w:hAnsi="Times New Roman" w:eastAsia="宋体" w:cs="Times New Roman"/>
                <w:color w:val="auto"/>
                <w:sz w:val="24"/>
              </w:rPr>
              <w:t>地</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水环境影响分析具体内容见地</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水专题</w:t>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7.2.4声环境影响分析</w:t>
            </w:r>
          </w:p>
          <w:p>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针对各种机械设备的噪声，采取的治理措施有：企业在购买时选用低噪声的生产设备；鼓风机基础减震，设置在密闭的房间内；各种泵尽量采用潜污泵，基础进行减震处理；平时加强设备的维护，使设备长期运行在良好状态，为了减少噪声对周围环境的影响，应加强</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绿化工作。绿化树种可选择吸尘、降噪效果好的树种。</w:t>
            </w:r>
          </w:p>
          <w:p>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项目采取的降噪措施：</w:t>
            </w:r>
          </w:p>
          <w:p>
            <w:pPr>
              <w:pStyle w:val="95"/>
              <w:keepNext w:val="0"/>
              <w:keepLines w:val="0"/>
              <w:pageBreakBefore w:val="0"/>
              <w:widowControl w:val="0"/>
              <w:numPr>
                <w:ilvl w:val="0"/>
                <w:numId w:val="3"/>
              </w:numPr>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选用符合国家要求的低噪声设备；所有设备均布置于厂房内，并设减振基础。</w:t>
            </w:r>
          </w:p>
          <w:p>
            <w:pPr>
              <w:pStyle w:val="95"/>
              <w:keepNext w:val="0"/>
              <w:keepLines w:val="0"/>
              <w:pageBreakBefore w:val="0"/>
              <w:widowControl w:val="0"/>
              <w:numPr>
                <w:ilvl w:val="0"/>
                <w:numId w:val="3"/>
              </w:numPr>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加强设备的维修保养，缩短维修保养周期，确保设备处于完好的技术状态。</w:t>
            </w:r>
          </w:p>
          <w:p>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在采取环评要求的噪声治理措施后，噪声源噪声排放情况见表7-1</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表7-1</w:t>
            </w:r>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lang w:val="pt-BR"/>
              </w:rPr>
              <w:t xml:space="preserve">  噪声源排放情况表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714"/>
              <w:gridCol w:w="3359"/>
              <w:gridCol w:w="1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l2br w:val="nil"/>
                    <w:tr2bl w:val="nil"/>
                  </w:tcBorders>
                  <w:vAlign w:val="center"/>
                </w:tcPr>
                <w:p>
                  <w:pPr>
                    <w:spacing w:line="240" w:lineRule="auto"/>
                    <w:jc w:val="center"/>
                    <w:rPr>
                      <w:rStyle w:val="375"/>
                      <w:rFonts w:hint="default" w:ascii="Times New Roman" w:hAnsi="Times New Roman" w:eastAsia="宋体" w:cs="Times New Roman"/>
                      <w:bCs/>
                      <w:color w:val="auto"/>
                      <w:sz w:val="21"/>
                      <w:szCs w:val="21"/>
                    </w:rPr>
                  </w:pPr>
                  <w:r>
                    <w:rPr>
                      <w:rStyle w:val="375"/>
                      <w:rFonts w:hint="default" w:ascii="Times New Roman" w:hAnsi="Times New Roman" w:eastAsia="宋体" w:cs="Times New Roman"/>
                      <w:bCs/>
                      <w:color w:val="auto"/>
                      <w:sz w:val="21"/>
                      <w:szCs w:val="21"/>
                    </w:rPr>
                    <w:t>噪声源（设备名称）</w:t>
                  </w:r>
                </w:p>
              </w:tc>
              <w:tc>
                <w:tcPr>
                  <w:tcW w:w="937" w:type="pct"/>
                  <w:tcBorders>
                    <w:tl2br w:val="nil"/>
                    <w:tr2bl w:val="nil"/>
                  </w:tcBorders>
                  <w:vAlign w:val="center"/>
                </w:tcPr>
                <w:p>
                  <w:pPr>
                    <w:spacing w:line="240" w:lineRule="auto"/>
                    <w:jc w:val="center"/>
                    <w:rPr>
                      <w:rStyle w:val="375"/>
                      <w:rFonts w:hint="default" w:ascii="Times New Roman" w:hAnsi="Times New Roman" w:eastAsia="宋体" w:cs="Times New Roman"/>
                      <w:bCs/>
                      <w:color w:val="auto"/>
                      <w:sz w:val="21"/>
                      <w:szCs w:val="21"/>
                    </w:rPr>
                  </w:pPr>
                  <w:r>
                    <w:rPr>
                      <w:rStyle w:val="375"/>
                      <w:rFonts w:hint="default" w:ascii="Times New Roman" w:hAnsi="Times New Roman" w:eastAsia="宋体" w:cs="Times New Roman"/>
                      <w:bCs/>
                      <w:color w:val="auto"/>
                      <w:sz w:val="21"/>
                      <w:szCs w:val="21"/>
                    </w:rPr>
                    <w:t>声源强dB（A）</w:t>
                  </w:r>
                </w:p>
              </w:tc>
              <w:tc>
                <w:tcPr>
                  <w:tcW w:w="1837" w:type="pct"/>
                  <w:tcBorders>
                    <w:tl2br w:val="nil"/>
                    <w:tr2bl w:val="nil"/>
                  </w:tcBorders>
                  <w:vAlign w:val="center"/>
                </w:tcPr>
                <w:p>
                  <w:pPr>
                    <w:spacing w:line="240" w:lineRule="auto"/>
                    <w:jc w:val="center"/>
                    <w:rPr>
                      <w:rStyle w:val="375"/>
                      <w:rFonts w:hint="default" w:ascii="Times New Roman" w:hAnsi="Times New Roman" w:eastAsia="宋体" w:cs="Times New Roman"/>
                      <w:bCs/>
                      <w:color w:val="auto"/>
                      <w:sz w:val="21"/>
                      <w:szCs w:val="21"/>
                    </w:rPr>
                  </w:pPr>
                  <w:r>
                    <w:rPr>
                      <w:rStyle w:val="375"/>
                      <w:rFonts w:hint="default" w:ascii="Times New Roman" w:hAnsi="Times New Roman" w:eastAsia="宋体" w:cs="Times New Roman"/>
                      <w:bCs/>
                      <w:color w:val="auto"/>
                      <w:sz w:val="21"/>
                      <w:szCs w:val="21"/>
                    </w:rPr>
                    <w:t>治理措施</w:t>
                  </w:r>
                </w:p>
              </w:tc>
              <w:tc>
                <w:tcPr>
                  <w:tcW w:w="1025" w:type="pct"/>
                  <w:tcBorders>
                    <w:tl2br w:val="nil"/>
                    <w:tr2bl w:val="nil"/>
                  </w:tcBorders>
                  <w:vAlign w:val="center"/>
                </w:tcPr>
                <w:p>
                  <w:pPr>
                    <w:spacing w:line="240" w:lineRule="auto"/>
                    <w:jc w:val="center"/>
                    <w:rPr>
                      <w:rStyle w:val="375"/>
                      <w:rFonts w:hint="default" w:ascii="Times New Roman" w:hAnsi="Times New Roman" w:eastAsia="宋体" w:cs="Times New Roman"/>
                      <w:bCs/>
                      <w:color w:val="auto"/>
                      <w:sz w:val="21"/>
                      <w:szCs w:val="21"/>
                    </w:rPr>
                  </w:pPr>
                  <w:r>
                    <w:rPr>
                      <w:rStyle w:val="375"/>
                      <w:rFonts w:hint="default" w:ascii="Times New Roman" w:hAnsi="Times New Roman" w:eastAsia="宋体" w:cs="Times New Roman"/>
                      <w:bCs/>
                      <w:color w:val="auto"/>
                      <w:sz w:val="21"/>
                      <w:szCs w:val="21"/>
                    </w:rPr>
                    <w:t>降噪效果dB（A）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各种泵类</w:t>
                  </w:r>
                </w:p>
              </w:tc>
              <w:tc>
                <w:tcPr>
                  <w:tcW w:w="937"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70～80</w:t>
                  </w:r>
                </w:p>
              </w:tc>
              <w:tc>
                <w:tcPr>
                  <w:tcW w:w="1837"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基础减震</w:t>
                  </w:r>
                </w:p>
              </w:tc>
              <w:tc>
                <w:tcPr>
                  <w:tcW w:w="1025"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一体化设备</w:t>
                  </w:r>
                </w:p>
              </w:tc>
              <w:tc>
                <w:tcPr>
                  <w:tcW w:w="937"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70～80</w:t>
                  </w:r>
                </w:p>
              </w:tc>
              <w:tc>
                <w:tcPr>
                  <w:tcW w:w="1837"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基础减震、设置在密封的房间</w:t>
                  </w:r>
                </w:p>
              </w:tc>
              <w:tc>
                <w:tcPr>
                  <w:tcW w:w="1025" w:type="pct"/>
                  <w:tcBorders>
                    <w:tl2br w:val="nil"/>
                    <w:tr2bl w:val="nil"/>
                  </w:tcBorders>
                  <w:vAlign w:val="center"/>
                </w:tcPr>
                <w:p>
                  <w:pPr>
                    <w:spacing w:line="240" w:lineRule="auto"/>
                    <w:jc w:val="center"/>
                    <w:rPr>
                      <w:rStyle w:val="375"/>
                      <w:rFonts w:hint="default" w:ascii="Times New Roman" w:hAnsi="Times New Roman" w:eastAsia="宋体" w:cs="Times New Roman"/>
                      <w:color w:val="auto"/>
                      <w:sz w:val="21"/>
                      <w:szCs w:val="21"/>
                    </w:rPr>
                  </w:pPr>
                  <w:r>
                    <w:rPr>
                      <w:rStyle w:val="375"/>
                      <w:rFonts w:hint="default" w:ascii="Times New Roman" w:hAnsi="Times New Roman" w:eastAsia="宋体" w:cs="Times New Roman"/>
                      <w:color w:val="auto"/>
                      <w:sz w:val="21"/>
                      <w:szCs w:val="21"/>
                    </w:rPr>
                    <w:t>30</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采用《环境影响评价技术导则声环境》（HJ2.4-2009）推荐公式：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4"/>
                <w:sz w:val="24"/>
              </w:rPr>
              <w:drawing>
                <wp:inline distT="0" distB="0" distL="0" distR="0">
                  <wp:extent cx="2647950" cy="2857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47950" cy="285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r>
              <w:rPr>
                <w:rFonts w:hint="default" w:ascii="Times New Roman" w:hAnsi="Times New Roman" w:eastAsia="宋体" w:cs="Times New Roman"/>
                <w:color w:val="auto"/>
                <w:position w:val="-10"/>
                <w:sz w:val="24"/>
              </w:rPr>
              <w:drawing>
                <wp:inline distT="0" distB="0" distL="0" distR="0">
                  <wp:extent cx="476250" cy="26670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7625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——距声源r处的A声级；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4"/>
                <w:sz w:val="24"/>
              </w:rPr>
              <w:drawing>
                <wp:inline distT="0" distB="0" distL="0" distR="0">
                  <wp:extent cx="695325" cy="304800"/>
                  <wp:effectExtent l="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95325" cy="304800"/>
                          </a:xfrm>
                          <a:prstGeom prst="rect">
                            <a:avLst/>
                          </a:prstGeom>
                          <a:noFill/>
                          <a:ln>
                            <a:noFill/>
                          </a:ln>
                        </pic:spPr>
                      </pic:pic>
                    </a:graphicData>
                  </a:graphic>
                </wp:inline>
              </w:drawing>
            </w:r>
            <w:r>
              <w:rPr>
                <w:rFonts w:hint="default" w:ascii="Times New Roman" w:hAnsi="Times New Roman" w:eastAsia="宋体" w:cs="Times New Roman"/>
                <w:bCs/>
                <w:color w:val="auto"/>
                <w:sz w:val="24"/>
              </w:rPr>
              <w:t>——参考位置r</w:t>
            </w:r>
            <w:r>
              <w:rPr>
                <w:rFonts w:hint="default" w:ascii="Times New Roman" w:hAnsi="Times New Roman" w:eastAsia="宋体" w:cs="Times New Roman"/>
                <w:bCs/>
                <w:color w:val="auto"/>
                <w:sz w:val="24"/>
                <w:vertAlign w:val="subscript"/>
              </w:rPr>
              <w:t>0</w:t>
            </w:r>
            <w:r>
              <w:rPr>
                <w:rFonts w:hint="default" w:ascii="Times New Roman" w:hAnsi="Times New Roman" w:eastAsia="宋体" w:cs="Times New Roman"/>
                <w:bCs/>
                <w:color w:val="auto"/>
                <w:sz w:val="24"/>
              </w:rPr>
              <w:t>处的A声级；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361950" cy="26670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——声波几何衰减引起的A声级衰减量；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1333500" cy="266700"/>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3350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——点声源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4"/>
                <w:sz w:val="24"/>
              </w:rPr>
              <w:drawing>
                <wp:inline distT="0" distB="0" distL="0" distR="0">
                  <wp:extent cx="142875" cy="142875"/>
                  <wp:effectExtent l="0" t="0" r="9525" b="952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hint="default" w:ascii="Times New Roman" w:hAnsi="Times New Roman" w:eastAsia="宋体" w:cs="Times New Roman"/>
                <w:bCs/>
                <w:color w:val="auto"/>
                <w:sz w:val="24"/>
              </w:rPr>
              <w:t>——预测点距声源的距离，m；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171450" cy="266700"/>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145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——参考位置距声源的距离，m；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361950" cy="266700"/>
                  <wp:effectExtent l="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——声屏引起的A声级衰减量；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2"/>
                <w:sz w:val="24"/>
              </w:rPr>
              <w:drawing>
                <wp:inline distT="0" distB="0" distL="0" distR="0">
                  <wp:extent cx="4438650" cy="28575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38650" cy="285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r>
              <w:rPr>
                <w:rFonts w:hint="default" w:ascii="Times New Roman" w:hAnsi="Times New Roman" w:eastAsia="宋体" w:cs="Times New Roman"/>
                <w:color w:val="auto"/>
                <w:position w:val="-10"/>
                <w:sz w:val="24"/>
              </w:rPr>
              <w:drawing>
                <wp:inline distT="0" distB="0" distL="0" distR="0">
                  <wp:extent cx="219075" cy="219075"/>
                  <wp:effectExtent l="0" t="0" r="9525" b="952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position w:val="-10"/>
                <w:sz w:val="24"/>
              </w:rPr>
              <w:drawing>
                <wp:inline distT="0" distB="0" distL="0" distR="0">
                  <wp:extent cx="266700" cy="219075"/>
                  <wp:effectExtent l="0" t="0" r="0" b="952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6700"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position w:val="-10"/>
                <w:sz w:val="24"/>
              </w:rPr>
              <w:drawing>
                <wp:inline distT="0" distB="0" distL="0" distR="0">
                  <wp:extent cx="219075" cy="219075"/>
                  <wp:effectExtent l="0" t="0" r="9525" b="952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——三个传播途径的菲涅尔系数。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6"/>
                <w:sz w:val="24"/>
              </w:rPr>
              <w:drawing>
                <wp:inline distT="0" distB="0" distL="0" distR="0">
                  <wp:extent cx="838200" cy="219075"/>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38200" cy="219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r>
              <w:rPr>
                <w:rFonts w:hint="default" w:ascii="Times New Roman" w:hAnsi="Times New Roman" w:eastAsia="宋体" w:cs="Times New Roman"/>
                <w:color w:val="auto"/>
                <w:position w:val="-6"/>
                <w:sz w:val="24"/>
              </w:rPr>
              <w:drawing>
                <wp:inline distT="0" distB="0" distL="0" distR="0">
                  <wp:extent cx="171450" cy="219075"/>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1450"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——声程差；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6"/>
                <w:sz w:val="24"/>
              </w:rPr>
              <w:drawing>
                <wp:inline distT="0" distB="0" distL="0" distR="0">
                  <wp:extent cx="171450" cy="219075"/>
                  <wp:effectExtent l="0" t="0" r="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1450"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——声波波长；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361950" cy="26670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——空气吸收衰减量；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1409700" cy="266700"/>
                  <wp:effectExtent l="0" t="0" r="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409700" cy="266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r>
              <w:rPr>
                <w:rFonts w:hint="default" w:ascii="Times New Roman" w:hAnsi="Times New Roman" w:eastAsia="宋体" w:cs="Times New Roman"/>
                <w:color w:val="auto"/>
                <w:position w:val="-6"/>
                <w:sz w:val="24"/>
              </w:rPr>
              <w:drawing>
                <wp:inline distT="0" distB="0" distL="0" distR="0">
                  <wp:extent cx="142875" cy="142875"/>
                  <wp:effectExtent l="0" t="0" r="9525" b="952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hint="default" w:ascii="Times New Roman" w:hAnsi="Times New Roman" w:eastAsia="宋体" w:cs="Times New Roman"/>
                <w:bCs/>
                <w:color w:val="auto"/>
                <w:sz w:val="24"/>
              </w:rPr>
              <w:t>——每100m空气吸收系数，dB（A）/100米；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各测点声压级按下列公式进行叠加：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32"/>
                <w:sz w:val="24"/>
              </w:rPr>
              <w:drawing>
                <wp:inline distT="0" distB="0" distL="0" distR="0">
                  <wp:extent cx="2133600" cy="571500"/>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33600" cy="571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r>
              <w:rPr>
                <w:rFonts w:hint="default" w:ascii="Times New Roman" w:hAnsi="Times New Roman" w:eastAsia="宋体" w:cs="Times New Roman"/>
                <w:color w:val="auto"/>
                <w:position w:val="-12"/>
                <w:sz w:val="24"/>
              </w:rPr>
              <w:drawing>
                <wp:inline distT="0" distB="0" distL="0" distR="0">
                  <wp:extent cx="266700" cy="266700"/>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default" w:ascii="Times New Roman" w:hAnsi="Times New Roman" w:eastAsia="宋体" w:cs="Times New Roman"/>
                <w:bCs/>
                <w:color w:val="auto"/>
                <w:sz w:val="24"/>
              </w:rPr>
              <w:t>——测点总的A声级，dB（A）；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219075" cy="219075"/>
                  <wp:effectExtent l="0" t="0" r="9525" b="952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——环境噪声本底值；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10"/>
                <w:sz w:val="24"/>
              </w:rPr>
              <w:drawing>
                <wp:inline distT="0" distB="0" distL="0" distR="0">
                  <wp:extent cx="152400" cy="219075"/>
                  <wp:effectExtent l="0" t="0" r="0"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52400" cy="219075"/>
                          </a:xfrm>
                          <a:prstGeom prst="rect">
                            <a:avLst/>
                          </a:prstGeom>
                          <a:noFill/>
                          <a:ln>
                            <a:noFill/>
                          </a:ln>
                        </pic:spPr>
                      </pic:pic>
                    </a:graphicData>
                  </a:graphic>
                </wp:inline>
              </w:drawing>
            </w:r>
            <w:r>
              <w:rPr>
                <w:rFonts w:hint="default" w:ascii="Times New Roman" w:hAnsi="Times New Roman" w:eastAsia="宋体" w:cs="Times New Roman"/>
                <w:bCs/>
                <w:color w:val="auto"/>
                <w:sz w:val="24"/>
              </w:rPr>
              <w:t>——第i个声源到预测点处的声压级，dB（A）；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position w:val="-6"/>
                <w:sz w:val="24"/>
              </w:rPr>
              <w:drawing>
                <wp:inline distT="0" distB="0" distL="0" distR="0">
                  <wp:extent cx="142875" cy="142875"/>
                  <wp:effectExtent l="0" t="0" r="952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hint="default" w:ascii="Times New Roman" w:hAnsi="Times New Roman" w:eastAsia="宋体" w:cs="Times New Roman"/>
                <w:bCs/>
                <w:color w:val="auto"/>
                <w:sz w:val="24"/>
              </w:rPr>
              <w:t>——声源个数；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根据本工程噪声源的分布，对项目的厂界噪声影响进行预测计算，项目运营期间厂界四周贡献值见表7-1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表7-1</w:t>
            </w:r>
            <w:r>
              <w:rPr>
                <w:rFonts w:hint="default" w:ascii="Times New Roman" w:hAnsi="Times New Roman" w:eastAsia="宋体" w:cs="Times New Roman"/>
                <w:b/>
                <w:color w:val="auto"/>
                <w:sz w:val="24"/>
                <w:lang w:val="en-US" w:eastAsia="zh-CN"/>
              </w:rPr>
              <w:t>8</w:t>
            </w:r>
            <w:r>
              <w:rPr>
                <w:rFonts w:hint="default" w:ascii="Times New Roman" w:hAnsi="Times New Roman" w:eastAsia="宋体" w:cs="Times New Roman"/>
                <w:b/>
                <w:color w:val="auto"/>
                <w:sz w:val="24"/>
                <w:lang w:val="pt-BR"/>
              </w:rPr>
              <w:t xml:space="preserve">  厂界噪声预测结果单位：［dB(A)］</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2254"/>
              <w:gridCol w:w="2254"/>
              <w:gridCol w:w="2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预测区域</w:t>
                  </w:r>
                </w:p>
              </w:tc>
              <w:tc>
                <w:tcPr>
                  <w:tcW w:w="1233"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w:t>
                  </w:r>
                </w:p>
              </w:tc>
              <w:tc>
                <w:tcPr>
                  <w:tcW w:w="1233" w:type="pct"/>
                  <w:tcBorders>
                    <w:tl2br w:val="nil"/>
                    <w:tr2bl w:val="nil"/>
                  </w:tcBorders>
                  <w:vAlign w:val="center"/>
                </w:tcPr>
                <w:p>
                  <w:pPr>
                    <w:pStyle w:val="3"/>
                    <w:keepNext w:val="0"/>
                    <w:keepLines w:val="0"/>
                    <w:pageBreakBefore w:val="0"/>
                    <w:widowControl w:val="0"/>
                    <w:tabs>
                      <w:tab w:val="left" w:pos="7500"/>
                    </w:tabs>
                    <w:kinsoku/>
                    <w:wordWrap/>
                    <w:overflowPunct/>
                    <w:topLinePunct w:val="0"/>
                    <w:autoSpaceDE/>
                    <w:autoSpaceDN/>
                    <w:bidi w:val="0"/>
                    <w:spacing w:after="0" w:line="240" w:lineRule="auto"/>
                    <w:ind w:left="0" w:left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eastAsia="zh-CN"/>
                    </w:rPr>
                    <w:t>贡献值</w:t>
                  </w:r>
                </w:p>
              </w:tc>
              <w:tc>
                <w:tcPr>
                  <w:tcW w:w="1234" w:type="pct"/>
                  <w:tcBorders>
                    <w:tl2br w:val="nil"/>
                    <w:tr2bl w:val="nil"/>
                  </w:tcBorders>
                  <w:vAlign w:val="center"/>
                </w:tcPr>
                <w:p>
                  <w:pPr>
                    <w:pStyle w:val="3"/>
                    <w:keepNext w:val="0"/>
                    <w:keepLines w:val="0"/>
                    <w:pageBreakBefore w:val="0"/>
                    <w:widowControl w:val="0"/>
                    <w:tabs>
                      <w:tab w:val="left" w:pos="7500"/>
                    </w:tabs>
                    <w:kinsoku/>
                    <w:wordWrap/>
                    <w:overflowPunct/>
                    <w:topLinePunct w:val="0"/>
                    <w:autoSpaceDE/>
                    <w:autoSpaceDN/>
                    <w:bidi w:val="0"/>
                    <w:spacing w:after="0" w:line="240" w:lineRule="auto"/>
                    <w:ind w:left="0" w:left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夜间</w:t>
                  </w:r>
                  <w:r>
                    <w:rPr>
                      <w:rFonts w:hint="default" w:ascii="Times New Roman" w:hAnsi="Times New Roman" w:eastAsia="宋体" w:cs="Times New Roman"/>
                      <w:color w:val="auto"/>
                      <w:sz w:val="21"/>
                      <w:szCs w:val="21"/>
                      <w:lang w:eastAsia="zh-CN"/>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生活污水应急处理站</w:t>
                  </w: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东厂界</w:t>
                  </w: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44.47</w:t>
                  </w:r>
                </w:p>
              </w:tc>
              <w:tc>
                <w:tcPr>
                  <w:tcW w:w="123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44.47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西厂界</w:t>
                  </w: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42.96</w:t>
                  </w:r>
                </w:p>
              </w:tc>
              <w:tc>
                <w:tcPr>
                  <w:tcW w:w="123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南厂界</w:t>
                  </w: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44.37</w:t>
                  </w:r>
                </w:p>
              </w:tc>
              <w:tc>
                <w:tcPr>
                  <w:tcW w:w="123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北厂界</w:t>
                  </w:r>
                </w:p>
              </w:tc>
              <w:tc>
                <w:tcPr>
                  <w:tcW w:w="12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30.02</w:t>
                  </w:r>
                </w:p>
              </w:tc>
              <w:tc>
                <w:tcPr>
                  <w:tcW w:w="1234"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30.02</w:t>
                  </w:r>
                </w:p>
              </w:tc>
            </w:tr>
          </w:tbl>
          <w:p>
            <w:pPr>
              <w:keepNext w:val="0"/>
              <w:keepLines w:val="0"/>
              <w:pageBreakBefore w:val="0"/>
              <w:widowControl w:val="0"/>
              <w:tabs>
                <w:tab w:val="left" w:pos="0"/>
              </w:tabs>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由上表可知</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项目厂界</w:t>
            </w:r>
            <w:r>
              <w:rPr>
                <w:rFonts w:hint="default" w:ascii="Times New Roman" w:hAnsi="Times New Roman" w:eastAsia="宋体" w:cs="Times New Roman"/>
                <w:color w:val="auto"/>
                <w:sz w:val="24"/>
              </w:rPr>
              <w:t>噪声昼间</w:t>
            </w:r>
            <w:r>
              <w:rPr>
                <w:rFonts w:hint="default" w:ascii="Times New Roman" w:hAnsi="Times New Roman" w:eastAsia="宋体" w:cs="Times New Roman"/>
                <w:color w:val="auto"/>
                <w:sz w:val="24"/>
                <w:lang w:eastAsia="zh-CN"/>
              </w:rPr>
              <w:t>的贡献值</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30.02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44.47</w:t>
            </w:r>
            <w:r>
              <w:rPr>
                <w:rFonts w:hint="default" w:ascii="Times New Roman" w:hAnsi="Times New Roman" w:eastAsia="宋体" w:cs="Times New Roman"/>
                <w:color w:val="auto"/>
                <w:sz w:val="24"/>
              </w:rPr>
              <w:t>dB(A)，夜间</w:t>
            </w:r>
            <w:r>
              <w:rPr>
                <w:rFonts w:hint="default" w:ascii="Times New Roman" w:hAnsi="Times New Roman" w:eastAsia="宋体" w:cs="Times New Roman"/>
                <w:color w:val="auto"/>
                <w:sz w:val="24"/>
                <w:lang w:eastAsia="zh-CN"/>
              </w:rPr>
              <w:t>的贡献值</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30.02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44.47</w:t>
            </w:r>
            <w:r>
              <w:rPr>
                <w:rFonts w:hint="default" w:ascii="Times New Roman" w:hAnsi="Times New Roman" w:eastAsia="宋体" w:cs="Times New Roman"/>
                <w:color w:val="auto"/>
                <w:sz w:val="24"/>
              </w:rPr>
              <w:t>dB(A)，满足《工业企业厂界环境噪声排放标准》（GB12348-2008）中</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类区标准限值，即昼间</w:t>
            </w:r>
            <w:r>
              <w:rPr>
                <w:rFonts w:hint="default" w:ascii="Times New Roman" w:hAnsi="Times New Roman" w:eastAsia="宋体" w:cs="Times New Roman"/>
                <w:color w:val="auto"/>
                <w:sz w:val="24"/>
                <w:lang w:val="en-US" w:eastAsia="zh-CN"/>
              </w:rPr>
              <w:t>60</w:t>
            </w:r>
            <w:r>
              <w:rPr>
                <w:rFonts w:hint="default" w:ascii="Times New Roman" w:hAnsi="Times New Roman" w:eastAsia="宋体" w:cs="Times New Roman"/>
                <w:color w:val="auto"/>
                <w:sz w:val="24"/>
              </w:rPr>
              <w:t>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），夜间</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经计算，项目运营期间，村庄噪声预测结果见表7-1</w:t>
            </w:r>
            <w:r>
              <w:rPr>
                <w:rFonts w:hint="default" w:ascii="Times New Roman" w:hAnsi="Times New Roman" w:eastAsia="宋体" w:cs="Times New Roman"/>
                <w:color w:val="auto"/>
                <w:sz w:val="24"/>
                <w:lang w:val="en-US" w:eastAsia="zh-CN"/>
              </w:rPr>
              <w:t>9。</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w:t>
            </w:r>
            <w:r>
              <w:rPr>
                <w:rFonts w:hint="default" w:ascii="Times New Roman" w:hAnsi="Times New Roman" w:eastAsia="宋体" w:cs="Times New Roman"/>
                <w:b/>
                <w:color w:val="auto"/>
                <w:sz w:val="24"/>
                <w:lang w:val="en-US" w:eastAsia="zh-CN"/>
              </w:rPr>
              <w:t>19</w:t>
            </w:r>
            <w:r>
              <w:rPr>
                <w:rFonts w:hint="default" w:ascii="Times New Roman" w:hAnsi="Times New Roman" w:eastAsia="宋体" w:cs="Times New Roman"/>
                <w:b/>
                <w:color w:val="auto"/>
                <w:sz w:val="24"/>
                <w:lang w:val="pt-BR"/>
              </w:rPr>
              <w:t xml:space="preserve">  敏感点噪声预测结果  单位dB（A）</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47"/>
              <w:gridCol w:w="1305"/>
              <w:gridCol w:w="1305"/>
              <w:gridCol w:w="1305"/>
              <w:gridCol w:w="1305"/>
              <w:gridCol w:w="1306"/>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57"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1320"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1320"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w:t>
                  </w:r>
                </w:p>
              </w:tc>
              <w:tc>
                <w:tcPr>
                  <w:tcW w:w="1320"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背景值</w:t>
                  </w:r>
                </w:p>
              </w:tc>
              <w:tc>
                <w:tcPr>
                  <w:tcW w:w="1320"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叠加值</w:t>
                  </w:r>
                </w:p>
              </w:tc>
              <w:tc>
                <w:tcPr>
                  <w:tcW w:w="1321"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683"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超达标分析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57"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320" w:type="dxa"/>
                  <w:vMerge w:val="restar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笔峰村</w:t>
                  </w:r>
                </w:p>
              </w:tc>
              <w:tc>
                <w:tcPr>
                  <w:tcW w:w="1320" w:type="dxa"/>
                  <w:noWrap w:val="0"/>
                  <w:vAlign w:val="center"/>
                </w:tcPr>
                <w:p>
                  <w:pPr>
                    <w:pStyle w:val="218"/>
                    <w:spacing w:line="240" w:lineRule="auto"/>
                    <w:ind w:hanging="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lang w:val="en-US" w:eastAsia="zh-CN"/>
                    </w:rPr>
                    <w:t>3</w:t>
                  </w:r>
                </w:p>
              </w:tc>
              <w:tc>
                <w:tcPr>
                  <w:tcW w:w="1320" w:type="dxa"/>
                  <w:noWrap w:val="0"/>
                  <w:vAlign w:val="center"/>
                </w:tcPr>
                <w:p>
                  <w:pPr>
                    <w:pStyle w:val="218"/>
                    <w:spacing w:line="240" w:lineRule="auto"/>
                    <w:ind w:hanging="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50.5</w:t>
                  </w:r>
                </w:p>
              </w:tc>
              <w:tc>
                <w:tcPr>
                  <w:tcW w:w="1320" w:type="dxa"/>
                  <w:noWrap w:val="0"/>
                  <w:vAlign w:val="center"/>
                </w:tcPr>
                <w:p>
                  <w:pPr>
                    <w:pStyle w:val="218"/>
                    <w:spacing w:line="240" w:lineRule="auto"/>
                    <w:ind w:hanging="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50.5</w:t>
                  </w:r>
                </w:p>
              </w:tc>
              <w:tc>
                <w:tcPr>
                  <w:tcW w:w="1321"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683"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57"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夜间</w:t>
                  </w:r>
                </w:p>
              </w:tc>
              <w:tc>
                <w:tcPr>
                  <w:tcW w:w="1320" w:type="dxa"/>
                  <w:vMerge w:val="continue"/>
                  <w:noWrap w:val="0"/>
                  <w:vAlign w:val="center"/>
                </w:tcPr>
                <w:p>
                  <w:pPr>
                    <w:spacing w:line="240" w:lineRule="auto"/>
                    <w:jc w:val="center"/>
                    <w:rPr>
                      <w:rFonts w:hint="default" w:ascii="Times New Roman" w:hAnsi="Times New Roman" w:eastAsia="宋体" w:cs="Times New Roman"/>
                      <w:color w:val="auto"/>
                      <w:sz w:val="21"/>
                      <w:szCs w:val="21"/>
                      <w:lang w:eastAsia="zh-CN"/>
                    </w:rPr>
                  </w:pPr>
                </w:p>
              </w:tc>
              <w:tc>
                <w:tcPr>
                  <w:tcW w:w="1320" w:type="dxa"/>
                  <w:noWrap w:val="0"/>
                  <w:vAlign w:val="center"/>
                </w:tcPr>
                <w:p>
                  <w:pPr>
                    <w:pStyle w:val="218"/>
                    <w:spacing w:line="240" w:lineRule="auto"/>
                    <w:ind w:hanging="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lang w:val="en-US" w:eastAsia="zh-CN"/>
                    </w:rPr>
                    <w:t>3</w:t>
                  </w:r>
                </w:p>
              </w:tc>
              <w:tc>
                <w:tcPr>
                  <w:tcW w:w="1320" w:type="dxa"/>
                  <w:noWrap w:val="0"/>
                  <w:vAlign w:val="center"/>
                </w:tcPr>
                <w:p>
                  <w:pPr>
                    <w:pStyle w:val="218"/>
                    <w:spacing w:line="240" w:lineRule="auto"/>
                    <w:ind w:hanging="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43.9</w:t>
                  </w:r>
                </w:p>
              </w:tc>
              <w:tc>
                <w:tcPr>
                  <w:tcW w:w="1320" w:type="dxa"/>
                  <w:noWrap w:val="0"/>
                  <w:vAlign w:val="center"/>
                </w:tcPr>
                <w:p>
                  <w:pPr>
                    <w:pStyle w:val="218"/>
                    <w:spacing w:line="240" w:lineRule="auto"/>
                    <w:ind w:hanging="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43.9</w:t>
                  </w:r>
                </w:p>
              </w:tc>
              <w:tc>
                <w:tcPr>
                  <w:tcW w:w="1321"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1683" w:type="dxa"/>
                  <w:noWrap w:val="0"/>
                  <w:vAlign w:val="center"/>
                </w:tcPr>
                <w:p>
                  <w:pPr>
                    <w:pStyle w:val="218"/>
                    <w:spacing w:line="240" w:lineRule="auto"/>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tabs>
                <w:tab w:val="left" w:pos="0"/>
              </w:tabs>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村庄噪声昼间预测值为</w:t>
            </w:r>
            <w:r>
              <w:rPr>
                <w:rFonts w:hint="default" w:ascii="Times New Roman" w:hAnsi="Times New Roman" w:eastAsia="宋体" w:cs="Times New Roman"/>
                <w:color w:val="auto"/>
                <w:sz w:val="24"/>
                <w:lang w:val="en-US" w:eastAsia="zh-CN"/>
              </w:rPr>
              <w:t>50.5</w:t>
            </w:r>
            <w:r>
              <w:rPr>
                <w:rFonts w:hint="default" w:ascii="Times New Roman" w:hAnsi="Times New Roman" w:eastAsia="宋体" w:cs="Times New Roman"/>
                <w:color w:val="auto"/>
                <w:sz w:val="24"/>
              </w:rPr>
              <w:t>dB(A)</w:t>
            </w:r>
            <w:r>
              <w:rPr>
                <w:rFonts w:hint="default" w:ascii="Times New Roman" w:hAnsi="Times New Roman" w:eastAsia="宋体" w:cs="Times New Roman"/>
                <w:color w:val="auto"/>
                <w:sz w:val="24"/>
                <w:lang w:eastAsia="zh-CN"/>
              </w:rPr>
              <w:t>，夜间预测值为</w:t>
            </w:r>
            <w:r>
              <w:rPr>
                <w:rFonts w:hint="default" w:ascii="Times New Roman" w:hAnsi="Times New Roman" w:eastAsia="宋体" w:cs="Times New Roman"/>
                <w:color w:val="auto"/>
                <w:sz w:val="24"/>
                <w:lang w:val="en-US" w:eastAsia="zh-CN"/>
              </w:rPr>
              <w:t>43.9</w:t>
            </w:r>
            <w:r>
              <w:rPr>
                <w:rFonts w:hint="default" w:ascii="Times New Roman" w:hAnsi="Times New Roman" w:eastAsia="宋体" w:cs="Times New Roman"/>
                <w:color w:val="auto"/>
                <w:sz w:val="24"/>
              </w:rPr>
              <w:t>dB(A)，满足《声环境质量标准》（GB3096-2008）中1类区标准限值，即昼间55dB(A)，夜间45 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color w:val="auto"/>
                <w:sz w:val="24"/>
              </w:rPr>
              <w:t>综上分析可知，本项目生产运营产生的噪声对周围声环境的影响是可以接受的。</w:t>
            </w:r>
          </w:p>
          <w:p>
            <w:pPr>
              <w:keepNext w:val="0"/>
              <w:keepLines w:val="0"/>
              <w:pageBreakBefore w:val="0"/>
              <w:widowControl w:val="0"/>
              <w:kinsoku/>
              <w:wordWrap/>
              <w:overflowPunct/>
              <w:topLinePunct w:val="0"/>
              <w:bidi w:val="0"/>
              <w:snapToGrid/>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7.2.5固体废物影响分析</w:t>
            </w:r>
          </w:p>
          <w:bookmarkEnd w:id="5"/>
          <w:bookmarkEnd w:id="6"/>
          <w:bookmarkEnd w:id="7"/>
          <w:bookmarkEnd w:id="8"/>
          <w:bookmarkEnd w:id="9"/>
          <w:bookmarkEnd w:id="10"/>
          <w:bookmarkEnd w:id="11"/>
          <w:bookmarkEnd w:id="12"/>
          <w:bookmarkEnd w:id="13"/>
          <w:bookmarkEnd w:id="14"/>
          <w:bookmarkEnd w:id="15"/>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（1）固体废物属性判定</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vertAlign w:val="subscript"/>
              </w:rPr>
            </w:pPr>
            <w:r>
              <w:rPr>
                <w:rFonts w:hint="default" w:ascii="Times New Roman" w:hAnsi="Times New Roman" w:eastAsia="宋体" w:cs="Times New Roman"/>
                <w:snapToGrid w:val="0"/>
                <w:color w:val="auto"/>
                <w:kern w:val="0"/>
                <w:sz w:val="24"/>
              </w:rPr>
              <w:t>本项目固体废物主要为</w:t>
            </w:r>
            <w:r>
              <w:rPr>
                <w:rFonts w:hint="default" w:ascii="Times New Roman" w:hAnsi="Times New Roman" w:eastAsia="宋体" w:cs="Times New Roman"/>
                <w:iCs/>
                <w:color w:val="auto"/>
                <w:sz w:val="24"/>
              </w:rPr>
              <w:t>员工生活垃圾S</w:t>
            </w:r>
            <w:r>
              <w:rPr>
                <w:rFonts w:hint="default" w:ascii="Times New Roman" w:hAnsi="Times New Roman" w:eastAsia="宋体" w:cs="Times New Roman"/>
                <w:iCs/>
                <w:color w:val="auto"/>
                <w:sz w:val="24"/>
                <w:vertAlign w:val="subscript"/>
              </w:rPr>
              <w:t>1</w:t>
            </w:r>
            <w:r>
              <w:rPr>
                <w:rFonts w:hint="default" w:ascii="Times New Roman" w:hAnsi="Times New Roman" w:eastAsia="宋体" w:cs="Times New Roman"/>
                <w:iCs/>
                <w:color w:val="auto"/>
                <w:sz w:val="24"/>
              </w:rPr>
              <w:t>、</w:t>
            </w:r>
            <w:r>
              <w:rPr>
                <w:rFonts w:hint="default" w:ascii="Times New Roman" w:hAnsi="Times New Roman" w:eastAsia="宋体" w:cs="Times New Roman"/>
                <w:snapToGrid w:val="0"/>
                <w:color w:val="auto"/>
                <w:kern w:val="0"/>
                <w:sz w:val="24"/>
              </w:rPr>
              <w:t>格栅渣S</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Cs/>
                <w:color w:val="auto"/>
                <w:sz w:val="24"/>
              </w:rPr>
              <w:t>、污泥S</w:t>
            </w:r>
            <w:r>
              <w:rPr>
                <w:rFonts w:hint="default" w:ascii="Times New Roman" w:hAnsi="Times New Roman" w:eastAsia="宋体" w:cs="Times New Roman"/>
                <w:iCs/>
                <w:color w:val="auto"/>
                <w:sz w:val="24"/>
                <w:vertAlign w:val="subscript"/>
              </w:rPr>
              <w:t>3</w:t>
            </w:r>
            <w:r>
              <w:rPr>
                <w:rFonts w:hint="default" w:ascii="Times New Roman" w:hAnsi="Times New Roman" w:eastAsia="宋体" w:cs="Times New Roman"/>
                <w:iCs/>
                <w:color w:val="auto"/>
                <w:sz w:val="24"/>
                <w:vertAlign w:val="baseline"/>
                <w:lang w:eastAsia="zh-CN"/>
              </w:rPr>
              <w:t>、废活性炭</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vertAlign w:val="baseline"/>
                <w:lang w:eastAsia="zh-CN"/>
              </w:rPr>
              <w:t>、</w:t>
            </w:r>
            <w:r>
              <w:rPr>
                <w:rFonts w:hint="default" w:ascii="Times New Roman" w:hAnsi="Times New Roman" w:eastAsia="宋体" w:cs="Times New Roman"/>
                <w:iCs/>
                <w:color w:val="auto"/>
                <w:sz w:val="24"/>
                <w:vertAlign w:val="baseline"/>
                <w:lang w:eastAsia="zh-CN"/>
              </w:rPr>
              <w:t>废紫外线灯管</w:t>
            </w:r>
            <w:r>
              <w:rPr>
                <w:rFonts w:hint="default" w:ascii="Times New Roman" w:hAnsi="Times New Roman" w:eastAsia="宋体" w:cs="Times New Roman"/>
                <w:iCs/>
                <w:color w:val="auto"/>
                <w:sz w:val="24"/>
                <w:vertAlign w:val="baseline"/>
                <w:lang w:val="en-US" w:eastAsia="zh-CN"/>
              </w:rPr>
              <w:t>S</w:t>
            </w:r>
            <w:r>
              <w:rPr>
                <w:rFonts w:hint="default" w:ascii="Times New Roman" w:hAnsi="Times New Roman" w:eastAsia="宋体" w:cs="Times New Roman"/>
                <w:iCs/>
                <w:color w:val="auto"/>
                <w:sz w:val="24"/>
                <w:vertAlign w:val="subscript"/>
                <w:lang w:val="en-US" w:eastAsia="zh-CN"/>
              </w:rPr>
              <w:t>5</w:t>
            </w:r>
            <w:r>
              <w:rPr>
                <w:rFonts w:hint="default" w:ascii="Times New Roman" w:hAnsi="Times New Roman" w:eastAsia="宋体" w:cs="Times New Roman"/>
                <w:color w:val="auto"/>
                <w:sz w:val="24"/>
              </w:rPr>
              <w:t>。</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kern w:val="0"/>
                <w:sz w:val="24"/>
              </w:rPr>
              <w:t>根据《中华人民共和国固体废物污染环境防治法》、《固体废物鉴别标准通则》（GB34300-2017）判定，项目产生的栅渣S</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Cs/>
                <w:color w:val="auto"/>
                <w:sz w:val="24"/>
              </w:rPr>
              <w:t>、污泥S</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rPr>
              <w:t>、员工生活垃圾S</w:t>
            </w:r>
            <w:r>
              <w:rPr>
                <w:rFonts w:hint="default" w:ascii="Times New Roman" w:hAnsi="Times New Roman" w:eastAsia="宋体" w:cs="Times New Roman"/>
                <w:iCs/>
                <w:color w:val="auto"/>
                <w:sz w:val="24"/>
                <w:vertAlign w:val="subscript"/>
              </w:rPr>
              <w:t>3</w:t>
            </w:r>
            <w:r>
              <w:rPr>
                <w:rFonts w:hint="default" w:ascii="Times New Roman" w:hAnsi="Times New Roman" w:eastAsia="宋体" w:cs="Times New Roman"/>
                <w:color w:val="auto"/>
                <w:sz w:val="24"/>
              </w:rPr>
              <w:t>属于一般工业固体废物。</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根据《国家危险废物名录》和《危险废物鉴别标准 通则》（GB5085.7），判定项目产生</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iCs/>
                <w:color w:val="auto"/>
                <w:sz w:val="24"/>
                <w:vertAlign w:val="baseline"/>
                <w:lang w:eastAsia="zh-CN"/>
              </w:rPr>
              <w:t>废活性炭</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vertAlign w:val="baseline"/>
                <w:lang w:eastAsia="zh-CN"/>
              </w:rPr>
              <w:t>、</w:t>
            </w:r>
            <w:r>
              <w:rPr>
                <w:rFonts w:hint="default" w:ascii="Times New Roman" w:hAnsi="Times New Roman" w:eastAsia="宋体" w:cs="Times New Roman"/>
                <w:iCs/>
                <w:color w:val="auto"/>
                <w:sz w:val="24"/>
                <w:vertAlign w:val="baseline"/>
                <w:lang w:eastAsia="zh-CN"/>
              </w:rPr>
              <w:t>废紫外线灯管</w:t>
            </w:r>
            <w:r>
              <w:rPr>
                <w:rFonts w:hint="default" w:ascii="Times New Roman" w:hAnsi="Times New Roman" w:eastAsia="宋体" w:cs="Times New Roman"/>
                <w:iCs/>
                <w:color w:val="auto"/>
                <w:sz w:val="24"/>
                <w:vertAlign w:val="baseline"/>
                <w:lang w:val="en-US" w:eastAsia="zh-CN"/>
              </w:rPr>
              <w:t>S</w:t>
            </w:r>
            <w:r>
              <w:rPr>
                <w:rFonts w:hint="default" w:ascii="Times New Roman" w:hAnsi="Times New Roman" w:eastAsia="宋体" w:cs="Times New Roman"/>
                <w:iCs/>
                <w:color w:val="auto"/>
                <w:sz w:val="24"/>
                <w:vertAlign w:val="subscript"/>
                <w:lang w:val="en-US" w:eastAsia="zh-CN"/>
              </w:rPr>
              <w:t>5</w:t>
            </w:r>
            <w:r>
              <w:rPr>
                <w:rFonts w:hint="default" w:ascii="Times New Roman" w:hAnsi="Times New Roman" w:eastAsia="宋体" w:cs="Times New Roman"/>
                <w:color w:val="auto"/>
                <w:sz w:val="24"/>
              </w:rPr>
              <w:t>属于危险废物。</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w:t>
            </w:r>
            <w:r>
              <w:rPr>
                <w:rFonts w:hint="default" w:ascii="Times New Roman" w:hAnsi="Times New Roman" w:eastAsia="宋体" w:cs="Times New Roman"/>
                <w:b/>
                <w:color w:val="auto"/>
                <w:sz w:val="24"/>
                <w:lang w:val="en-US" w:eastAsia="zh-CN"/>
              </w:rPr>
              <w:t xml:space="preserve">20  </w:t>
            </w:r>
            <w:r>
              <w:rPr>
                <w:rFonts w:hint="default" w:ascii="Times New Roman" w:hAnsi="Times New Roman" w:eastAsia="宋体" w:cs="Times New Roman"/>
                <w:b/>
                <w:color w:val="auto"/>
                <w:sz w:val="24"/>
                <w:lang w:val="pt-BR" w:eastAsia="zh-CN"/>
              </w:rPr>
              <w:t>危险</w:t>
            </w:r>
            <w:r>
              <w:rPr>
                <w:rFonts w:hint="default" w:ascii="Times New Roman" w:hAnsi="Times New Roman" w:eastAsia="宋体" w:cs="Times New Roman"/>
                <w:b/>
                <w:color w:val="auto"/>
                <w:sz w:val="24"/>
                <w:lang w:val="pt-BR"/>
              </w:rPr>
              <w:t>废物鉴别结果汇总表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70"/>
              <w:gridCol w:w="1395"/>
              <w:gridCol w:w="1185"/>
              <w:gridCol w:w="885"/>
              <w:gridCol w:w="1200"/>
              <w:gridCol w:w="1200"/>
              <w:gridCol w:w="14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3"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固体废物名称</w:t>
                  </w:r>
                </w:p>
              </w:tc>
              <w:tc>
                <w:tcPr>
                  <w:tcW w:w="763"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产生工序</w:t>
                  </w:r>
                </w:p>
              </w:tc>
              <w:tc>
                <w:tcPr>
                  <w:tcW w:w="648"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属性</w:t>
                  </w:r>
                </w:p>
              </w:tc>
              <w:tc>
                <w:tcPr>
                  <w:tcW w:w="484"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形态</w:t>
                  </w:r>
                </w:p>
              </w:tc>
              <w:tc>
                <w:tcPr>
                  <w:tcW w:w="656" w:type="pct"/>
                  <w:tcBorders>
                    <w:tl2br w:val="nil"/>
                    <w:tr2bl w:val="nil"/>
                  </w:tcBorders>
                  <w:vAlign w:val="center"/>
                </w:tcPr>
                <w:p>
                  <w:pPr>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w:t>
                  </w:r>
                </w:p>
              </w:tc>
              <w:tc>
                <w:tcPr>
                  <w:tcW w:w="656" w:type="pct"/>
                  <w:tcBorders>
                    <w:tl2br w:val="nil"/>
                    <w:tr2bl w:val="nil"/>
                  </w:tcBorders>
                  <w:vAlign w:val="center"/>
                </w:tcPr>
                <w:p>
                  <w:pPr>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废物类别</w:t>
                  </w:r>
                </w:p>
              </w:tc>
              <w:tc>
                <w:tcPr>
                  <w:tcW w:w="767" w:type="pct"/>
                  <w:tcBorders>
                    <w:tl2br w:val="nil"/>
                    <w:tr2bl w:val="nil"/>
                  </w:tcBorders>
                  <w:vAlign w:val="center"/>
                </w:tcPr>
                <w:p>
                  <w:pPr>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废物代码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3"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vertAlign w:val="baseline"/>
                      <w:lang w:eastAsia="zh-CN"/>
                    </w:rPr>
                    <w:t>废活性炭</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vertAlign w:val="subscript"/>
                    </w:rPr>
                    <w:t>4</w:t>
                  </w:r>
                </w:p>
              </w:tc>
              <w:tc>
                <w:tcPr>
                  <w:tcW w:w="763" w:type="pct"/>
                  <w:vMerge w:val="restar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lang w:eastAsia="zh-CN"/>
                    </w:rPr>
                    <w:t>光氧活性炭一体机</w:t>
                  </w:r>
                </w:p>
              </w:tc>
              <w:tc>
                <w:tcPr>
                  <w:tcW w:w="648" w:type="pct"/>
                  <w:vMerge w:val="restart"/>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危险废物</w:t>
                  </w:r>
                </w:p>
              </w:tc>
              <w:tc>
                <w:tcPr>
                  <w:tcW w:w="484" w:type="pct"/>
                  <w:vMerge w:val="restart"/>
                  <w:tcBorders>
                    <w:tl2br w:val="nil"/>
                    <w:tr2bl w:val="nil"/>
                  </w:tcBorders>
                  <w:vAlign w:val="center"/>
                </w:tcPr>
                <w:p>
                  <w:pPr>
                    <w:spacing w:line="240" w:lineRule="auto"/>
                    <w:jc w:val="center"/>
                    <w:rPr>
                      <w:rFonts w:hint="default" w:ascii="Times New Roman" w:hAnsi="Times New Roman" w:eastAsia="宋体" w:cs="Times New Roman"/>
                      <w:iCs/>
                      <w:color w:val="auto"/>
                      <w:sz w:val="21"/>
                      <w:szCs w:val="21"/>
                    </w:rPr>
                  </w:pPr>
                  <w:r>
                    <w:rPr>
                      <w:rFonts w:hint="default" w:ascii="Times New Roman" w:hAnsi="Times New Roman" w:eastAsia="宋体" w:cs="Times New Roman"/>
                      <w:color w:val="auto"/>
                      <w:sz w:val="21"/>
                      <w:szCs w:val="21"/>
                    </w:rPr>
                    <w:t>固态</w:t>
                  </w:r>
                </w:p>
              </w:tc>
              <w:tc>
                <w:tcPr>
                  <w:tcW w:w="656" w:type="pct"/>
                  <w:vMerge w:val="restart"/>
                  <w:tcBorders>
                    <w:tl2br w:val="nil"/>
                    <w:tr2bl w:val="nil"/>
                  </w:tcBorders>
                  <w:vAlign w:val="center"/>
                </w:tcPr>
                <w:p>
                  <w:pPr>
                    <w:snapToGrid w:val="0"/>
                    <w:spacing w:line="240" w:lineRule="auto"/>
                    <w:ind w:left="-105" w:leftChars="-50" w:right="-105" w:rightChars="-5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656" w:type="pct"/>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Cs/>
                      <w:color w:val="auto"/>
                      <w:sz w:val="21"/>
                      <w:szCs w:val="21"/>
                    </w:rPr>
                    <w:t>HW</w:t>
                  </w:r>
                  <w:r>
                    <w:rPr>
                      <w:rFonts w:hint="default" w:ascii="Times New Roman" w:hAnsi="Times New Roman" w:eastAsia="宋体" w:cs="Times New Roman"/>
                      <w:iCs/>
                      <w:color w:val="auto"/>
                      <w:sz w:val="21"/>
                      <w:szCs w:val="21"/>
                      <w:lang w:val="en-US" w:eastAsia="zh-CN"/>
                    </w:rPr>
                    <w:t>29</w:t>
                  </w:r>
                </w:p>
              </w:tc>
              <w:tc>
                <w:tcPr>
                  <w:tcW w:w="767" w:type="pct"/>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rPr>
                    <w:t>900-</w:t>
                  </w:r>
                  <w:r>
                    <w:rPr>
                      <w:rFonts w:hint="default" w:ascii="Times New Roman" w:hAnsi="Times New Roman" w:eastAsia="宋体" w:cs="Times New Roman"/>
                      <w:iCs/>
                      <w:color w:val="auto"/>
                      <w:sz w:val="21"/>
                      <w:szCs w:val="21"/>
                      <w:lang w:val="en-US" w:eastAsia="zh-CN"/>
                    </w:rPr>
                    <w:t>023</w:t>
                  </w:r>
                  <w:r>
                    <w:rPr>
                      <w:rFonts w:hint="default" w:ascii="Times New Roman" w:hAnsi="Times New Roman" w:eastAsia="宋体" w:cs="Times New Roman"/>
                      <w:iCs/>
                      <w:color w:val="auto"/>
                      <w:sz w:val="21"/>
                      <w:szCs w:val="21"/>
                    </w:rPr>
                    <w:t>-</w:t>
                  </w:r>
                  <w:r>
                    <w:rPr>
                      <w:rFonts w:hint="default" w:ascii="Times New Roman" w:hAnsi="Times New Roman" w:eastAsia="宋体" w:cs="Times New Roman"/>
                      <w:iCs/>
                      <w:color w:val="auto"/>
                      <w:sz w:val="21"/>
                      <w:szCs w:val="21"/>
                      <w:lang w:val="en-US" w:eastAsia="zh-CN"/>
                    </w:rPr>
                    <w:t>2</w:t>
                  </w:r>
                  <w:r>
                    <w:rPr>
                      <w:rFonts w:hint="default" w:ascii="Times New Roman" w:hAnsi="Times New Roman" w:eastAsia="宋体" w:cs="Times New Roman"/>
                      <w:iCs/>
                      <w:color w:val="auto"/>
                      <w:sz w:val="21"/>
                      <w:szCs w:val="21"/>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3"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Cs/>
                      <w:color w:val="auto"/>
                      <w:sz w:val="21"/>
                      <w:szCs w:val="21"/>
                      <w:vertAlign w:val="baseline"/>
                      <w:lang w:eastAsia="zh-CN"/>
                    </w:rPr>
                    <w:t>废紫外线灯管</w:t>
                  </w:r>
                  <w:r>
                    <w:rPr>
                      <w:rFonts w:hint="default" w:ascii="Times New Roman" w:hAnsi="Times New Roman" w:eastAsia="宋体" w:cs="Times New Roman"/>
                      <w:iCs/>
                      <w:color w:val="auto"/>
                      <w:sz w:val="21"/>
                      <w:szCs w:val="21"/>
                      <w:vertAlign w:val="baseline"/>
                      <w:lang w:val="en-US" w:eastAsia="zh-CN"/>
                    </w:rPr>
                    <w:t>S</w:t>
                  </w:r>
                  <w:r>
                    <w:rPr>
                      <w:rFonts w:hint="default" w:ascii="Times New Roman" w:hAnsi="Times New Roman" w:eastAsia="宋体" w:cs="Times New Roman"/>
                      <w:iCs/>
                      <w:color w:val="auto"/>
                      <w:sz w:val="21"/>
                      <w:szCs w:val="21"/>
                      <w:vertAlign w:val="subscript"/>
                      <w:lang w:val="en-US" w:eastAsia="zh-CN"/>
                    </w:rPr>
                    <w:t>5</w:t>
                  </w:r>
                </w:p>
              </w:tc>
              <w:tc>
                <w:tcPr>
                  <w:tcW w:w="763" w:type="pct"/>
                  <w:vMerge w:val="continue"/>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iCs/>
                      <w:color w:val="auto"/>
                      <w:sz w:val="21"/>
                      <w:szCs w:val="21"/>
                      <w:lang w:eastAsia="zh-CN"/>
                    </w:rPr>
                  </w:pPr>
                </w:p>
              </w:tc>
              <w:tc>
                <w:tcPr>
                  <w:tcW w:w="648" w:type="pct"/>
                  <w:vMerge w:val="continue"/>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p>
              </w:tc>
              <w:tc>
                <w:tcPr>
                  <w:tcW w:w="484"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656" w:type="pct"/>
                  <w:vMerge w:val="continue"/>
                  <w:tcBorders>
                    <w:tl2br w:val="nil"/>
                    <w:tr2bl w:val="nil"/>
                  </w:tcBorders>
                  <w:vAlign w:val="center"/>
                </w:tcPr>
                <w:p>
                  <w:pPr>
                    <w:snapToGrid w:val="0"/>
                    <w:spacing w:line="240" w:lineRule="auto"/>
                    <w:ind w:left="-105" w:leftChars="-50" w:right="-105" w:rightChars="-50"/>
                    <w:jc w:val="center"/>
                    <w:textAlignment w:val="baseline"/>
                    <w:rPr>
                      <w:rFonts w:hint="default" w:ascii="Times New Roman" w:hAnsi="Times New Roman" w:eastAsia="宋体" w:cs="Times New Roman"/>
                      <w:color w:val="auto"/>
                      <w:sz w:val="21"/>
                      <w:szCs w:val="21"/>
                    </w:rPr>
                  </w:pPr>
                </w:p>
              </w:tc>
              <w:tc>
                <w:tcPr>
                  <w:tcW w:w="656" w:type="pct"/>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color w:val="auto"/>
                      <w:sz w:val="21"/>
                      <w:szCs w:val="21"/>
                    </w:rPr>
                    <w:t>HW49</w:t>
                  </w:r>
                </w:p>
              </w:tc>
              <w:tc>
                <w:tcPr>
                  <w:tcW w:w="767" w:type="pct"/>
                  <w:tcBorders>
                    <w:tl2br w:val="nil"/>
                    <w:tr2bl w:val="nil"/>
                  </w:tcBorders>
                  <w:vAlign w:val="center"/>
                </w:tcPr>
                <w:p>
                  <w:pPr>
                    <w:spacing w:line="240" w:lineRule="auto"/>
                    <w:ind w:left="-105" w:leftChars="-50" w:right="-105" w:rightChars="-50"/>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color w:val="auto"/>
                      <w:sz w:val="21"/>
                      <w:szCs w:val="21"/>
                    </w:rPr>
                    <w:t>900-041-49</w:t>
                  </w:r>
                </w:p>
              </w:tc>
            </w:tr>
          </w:tbl>
          <w:p>
            <w:pPr>
              <w:keepNext w:val="0"/>
              <w:keepLines w:val="0"/>
              <w:pageBreakBefore w:val="0"/>
              <w:widowControl w:val="0"/>
              <w:kinsoku/>
              <w:wordWrap/>
              <w:overflowPunct/>
              <w:topLinePunct w:val="0"/>
              <w:bidi w:val="0"/>
              <w:snapToGrid/>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（2）产生量核算</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生活污水应急处理站在营运期的固体废物主要为污水经过粗格栅产生的栅渣、污泥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工作人员产生的生活垃圾</w:t>
            </w:r>
            <w:r>
              <w:rPr>
                <w:rFonts w:hint="default" w:ascii="Times New Roman" w:hAnsi="Times New Roman" w:eastAsia="宋体" w:cs="Times New Roman"/>
                <w:color w:val="auto"/>
                <w:sz w:val="24"/>
                <w:lang w:eastAsia="zh-CN"/>
              </w:rPr>
              <w:t>、光氧活性炭一体机更换产生的废活性炭及废紫外线灯管</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1）员工生活垃圾</w:t>
            </w:r>
            <w:r>
              <w:rPr>
                <w:rFonts w:hint="default" w:ascii="Times New Roman" w:hAnsi="Times New Roman" w:eastAsia="宋体" w:cs="Times New Roman"/>
                <w:snapToGrid w:val="0"/>
                <w:color w:val="auto"/>
                <w:kern w:val="0"/>
                <w:sz w:val="24"/>
              </w:rPr>
              <w:t>S</w:t>
            </w:r>
            <w:r>
              <w:rPr>
                <w:rFonts w:hint="default" w:ascii="Times New Roman" w:hAnsi="Times New Roman" w:eastAsia="宋体" w:cs="Times New Roman"/>
                <w:color w:val="auto"/>
                <w:sz w:val="24"/>
                <w:vertAlign w:val="subscript"/>
              </w:rPr>
              <w:t>1</w:t>
            </w:r>
          </w:p>
          <w:p>
            <w:pPr>
              <w:keepNext w:val="0"/>
              <w:keepLines w:val="0"/>
              <w:pageBreakBefore w:val="0"/>
              <w:widowControl w:val="0"/>
              <w:kinsoku/>
              <w:wordWrap/>
              <w:overflowPunct/>
              <w:topLinePunct w:val="0"/>
              <w:bidi w:val="0"/>
              <w:snapToGrid/>
              <w:spacing w:line="480" w:lineRule="exact"/>
              <w:ind w:firstLine="480" w:firstLineChars="200"/>
              <w:jc w:val="left"/>
              <w:outlineLvl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本项目生产劳动定员为20人，每人每天生活垃圾产生量按0.5kg计，则生活垃圾总量为10kg/d，3.65t/a，生活垃圾经收集装置收集后委托环卫部门统一处理。</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2）格栅渣</w:t>
            </w:r>
            <w:r>
              <w:rPr>
                <w:rFonts w:hint="default" w:ascii="Times New Roman" w:hAnsi="Times New Roman" w:eastAsia="宋体" w:cs="Times New Roman"/>
                <w:snapToGrid w:val="0"/>
                <w:color w:val="auto"/>
                <w:kern w:val="0"/>
                <w:sz w:val="24"/>
              </w:rPr>
              <w:t>S</w:t>
            </w:r>
            <w:r>
              <w:rPr>
                <w:rFonts w:hint="default" w:ascii="Times New Roman" w:hAnsi="Times New Roman" w:eastAsia="宋体" w:cs="Times New Roman"/>
                <w:color w:val="auto"/>
                <w:sz w:val="24"/>
                <w:vertAlign w:val="subscript"/>
              </w:rPr>
              <w:t>2</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该部分固体废物主要来源于格栅池，产生量约为0.06t/d，21.9t/a，主要为漂浮垃圾、塑料、橡胶制品、泥沙等废物，经收集装置收集后委托环卫部门统一处理。</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3）污泥</w:t>
            </w:r>
            <w:r>
              <w:rPr>
                <w:rFonts w:hint="default" w:ascii="Times New Roman" w:hAnsi="Times New Roman" w:eastAsia="宋体" w:cs="Times New Roman"/>
                <w:snapToGrid w:val="0"/>
                <w:color w:val="auto"/>
                <w:kern w:val="0"/>
                <w:sz w:val="24"/>
              </w:rPr>
              <w:t>S</w:t>
            </w:r>
            <w:r>
              <w:rPr>
                <w:rFonts w:hint="default" w:ascii="Times New Roman" w:hAnsi="Times New Roman" w:eastAsia="宋体" w:cs="Times New Roman"/>
                <w:color w:val="auto"/>
                <w:sz w:val="24"/>
                <w:vertAlign w:val="subscript"/>
              </w:rPr>
              <w:t>3</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水处理过程中产生的污泥有机物含量、含水率较高而且不稳定，若不予以有效地处理和处置而直接任意排放，将会引起严重的二次污染，本项目污泥经叠螺脱水机将污泥脱水，类比同类污水处理厂，污泥量按照下式估算：</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vertAlign w:val="superscript"/>
              </w:rPr>
            </w:pPr>
            <w:r>
              <w:rPr>
                <w:rFonts w:hint="default" w:ascii="Times New Roman" w:hAnsi="Times New Roman" w:eastAsia="宋体" w:cs="Times New Roman"/>
                <w:color w:val="auto"/>
                <w:sz w:val="24"/>
              </w:rPr>
              <w:t>W=Q·(C</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)·10</w:t>
            </w:r>
            <w:r>
              <w:rPr>
                <w:rFonts w:hint="default" w:ascii="Times New Roman" w:hAnsi="Times New Roman" w:eastAsia="宋体" w:cs="Times New Roman"/>
                <w:color w:val="auto"/>
                <w:sz w:val="24"/>
                <w:vertAlign w:val="superscript"/>
              </w:rPr>
              <w:t>-6</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式中：W——沉淀污泥产生量，t/d；</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Q——废水处理量；</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——沉淀池进、出口悬浮物的浓度，mg/L。</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根据生产废水污染源预测，生活污水应急处理站进水水质SS</w:t>
            </w:r>
            <w:r>
              <w:rPr>
                <w:rFonts w:hint="default" w:ascii="Times New Roman" w:hAnsi="Times New Roman" w:eastAsia="宋体" w:cs="Times New Roman"/>
                <w:color w:val="auto"/>
                <w:sz w:val="24"/>
                <w:lang w:val="en-US" w:eastAsia="zh-CN"/>
              </w:rPr>
              <w:t>109</w:t>
            </w:r>
            <w:r>
              <w:rPr>
                <w:rFonts w:hint="default" w:ascii="Times New Roman" w:hAnsi="Times New Roman" w:eastAsia="宋体" w:cs="Times New Roman"/>
                <w:color w:val="auto"/>
                <w:sz w:val="24"/>
              </w:rPr>
              <w:t>mg/L，出水水质SS10mg/L，干化后的污泥含水率取20%。则项目生产废水处理产生的污泥量约为</w:t>
            </w:r>
            <w:r>
              <w:rPr>
                <w:rFonts w:hint="default" w:ascii="Times New Roman" w:hAnsi="Times New Roman" w:eastAsia="宋体" w:cs="Times New Roman"/>
                <w:color w:val="auto"/>
                <w:sz w:val="24"/>
                <w:lang w:val="en-US" w:eastAsia="zh-CN"/>
              </w:rPr>
              <w:t>3000m³/d×（109</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val="en-US" w:eastAsia="zh-CN"/>
              </w:rPr>
              <w:t>-99</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vertAlign w:val="superscript"/>
                <w:lang w:val="en-US" w:eastAsia="zh-CN"/>
              </w:rPr>
              <w:t>-6</w:t>
            </w:r>
            <w:r>
              <w:rPr>
                <w:rFonts w:hint="default" w:ascii="Times New Roman" w:hAnsi="Times New Roman" w:eastAsia="宋体" w:cs="Times New Roman"/>
                <w:color w:val="auto"/>
                <w:sz w:val="24"/>
                <w:lang w:val="en-US" w:eastAsia="zh-CN"/>
              </w:rPr>
              <w:t>×20%=0.0594</w:t>
            </w:r>
            <w:r>
              <w:rPr>
                <w:rFonts w:hint="default" w:ascii="Times New Roman" w:hAnsi="Times New Roman" w:eastAsia="宋体" w:cs="Times New Roman"/>
                <w:color w:val="auto"/>
                <w:sz w:val="24"/>
              </w:rPr>
              <w:t>t/d（</w:t>
            </w:r>
            <w:r>
              <w:rPr>
                <w:rFonts w:hint="default" w:ascii="Times New Roman" w:hAnsi="Times New Roman" w:eastAsia="宋体" w:cs="Times New Roman"/>
                <w:color w:val="auto"/>
                <w:sz w:val="24"/>
                <w:lang w:val="en-US" w:eastAsia="zh-CN"/>
              </w:rPr>
              <w:t>21.681</w:t>
            </w:r>
            <w:r>
              <w:rPr>
                <w:rFonts w:hint="default" w:ascii="Times New Roman" w:hAnsi="Times New Roman" w:eastAsia="宋体" w:cs="Times New Roman"/>
                <w:color w:val="auto"/>
                <w:sz w:val="24"/>
              </w:rPr>
              <w:t>t/a）。</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环境保护部办公厅环办文件《关于加强城镇污水处理厂污泥污染防治工作的通知》（〔2010〕157号）和《城镇污水处理厂污泥处理处置及污染防治技术政策（试行）》（建城〔2009〕23号），为确保本项目剩余污泥不会对环境造成二次污染，应做到：</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kern w:val="0"/>
                <w:sz w:val="24"/>
              </w:rPr>
              <w:t>应对污水处理过程产生的污泥承担处理处置责任，其法定代表人或其主要负责人是污泥污染防治第一责任人。</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kern w:val="0"/>
                <w:sz w:val="24"/>
              </w:rPr>
              <w:t>应当切实履行职责，对污泥产生、运输、贮存、处理、处置实施全过程管理，制定并落实污泥环境管理的规章制度、工作流程和要求，设置专门的监控部门或专（兼）职人员，确保污泥妥善处理处置，严禁擅自倾倒、堆放、丢弃、遗撒污泥。</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②污泥处理处置应遵循减量化、稳定化、无害化的原则。污泥处理设施（污泥稳定化和脱水设施）应当与污水处理设施同时规划、同时建设、同时投入运行。</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③加强污泥环境风险防范。污泥产生、运输、贮存、处理处置的全过程应当遵守相关污染控制标准及技术规范。</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④建立污泥管理台账和转移联单制度。</w:t>
            </w:r>
            <w:r>
              <w:rPr>
                <w:rFonts w:hint="default" w:ascii="Times New Roman" w:hAnsi="Times New Roman" w:eastAsia="宋体" w:cs="Times New Roman"/>
                <w:color w:val="auto"/>
                <w:kern w:val="0"/>
                <w:sz w:val="24"/>
                <w:lang w:eastAsia="zh-CN"/>
              </w:rPr>
              <w:t>生活污水应急处理站</w:t>
            </w:r>
            <w:r>
              <w:rPr>
                <w:rFonts w:hint="default" w:ascii="Times New Roman" w:hAnsi="Times New Roman" w:eastAsia="宋体" w:cs="Times New Roman"/>
                <w:color w:val="auto"/>
                <w:kern w:val="0"/>
                <w:sz w:val="24"/>
              </w:rPr>
              <w:t>、污泥处理处置单位应当建立污泥管理台账，详细记录污泥产生量、转移量、处理处置量及其去向等情况，定期向所在地县级以上地方环保部门报告。建立污泥转移联单制度，转出污泥时应如实填写转移联单。</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⑤规范污泥运输。本项目污泥应交由具有相关的道路货物运营资质的从事污泥运输的单位运输，禁止将污泥交由个人和没有获得相关运营资质的单位。污泥运输车辆应当采取密封、防水、防渗漏和防遗撒等措施。</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⑥污泥存放于污泥池内，污泥暂存池需作防腐、防渗处理；污泥应及时外运，做到日产日清，脱水后的污泥直接排入密封翻斗车内进行运输；</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kern w:val="0"/>
                <w:sz w:val="24"/>
              </w:rPr>
              <w:t>产生的污泥在搬运上车区域，设置专门排水沟和地坪坡降，以便使清扫不干净的污泥再回到处理系统；</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kern w:val="0"/>
                <w:sz w:val="24"/>
              </w:rPr>
              <w:t>的污泥堆放区设置专门的排水沟，收集滤出液返回至污水处理系统。</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⑦对污泥运输过程中必须采用密封式翻斗车，避免沿途抛洒污染环境，必须确保运输途中不出现跑冒漏滴。清运车辆不得穿越城镇中心区域。外运时间应该避开上下班的高峰期及人流物流的高峰时间。</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本工程污泥经叠螺脱水机后，</w:t>
            </w:r>
            <w:r>
              <w:rPr>
                <w:rFonts w:hint="default" w:ascii="Times New Roman" w:hAnsi="Times New Roman" w:eastAsia="宋体" w:cs="Times New Roman"/>
                <w:color w:val="auto"/>
                <w:sz w:val="24"/>
                <w:szCs w:val="24"/>
              </w:rPr>
              <w:t>外运做</w:t>
            </w:r>
            <w:r>
              <w:rPr>
                <w:rFonts w:hint="default" w:ascii="Times New Roman" w:hAnsi="Times New Roman" w:eastAsia="宋体" w:cs="Times New Roman"/>
                <w:color w:val="auto"/>
                <w:sz w:val="24"/>
                <w:szCs w:val="24"/>
                <w:lang w:eastAsia="zh-CN"/>
              </w:rPr>
              <w:t>至生活垃圾填埋场</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4）废活性炭</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vertAlign w:val="subscript"/>
              </w:rPr>
              <w:t>4</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该部分固废来自于</w:t>
            </w:r>
            <w:r>
              <w:rPr>
                <w:rFonts w:hint="default" w:ascii="Times New Roman" w:hAnsi="Times New Roman" w:eastAsia="宋体" w:cs="Times New Roman"/>
                <w:color w:val="auto"/>
                <w:sz w:val="24"/>
                <w:lang w:eastAsia="zh-CN"/>
              </w:rPr>
              <w:t>光氧活性炭一体机臭气</w:t>
            </w:r>
            <w:r>
              <w:rPr>
                <w:rFonts w:hint="default" w:ascii="Times New Roman" w:hAnsi="Times New Roman" w:eastAsia="宋体" w:cs="Times New Roman"/>
                <w:color w:val="auto"/>
                <w:sz w:val="24"/>
              </w:rPr>
              <w:t>处理过程，本项目废活性炭产生量约为</w:t>
            </w:r>
            <w:r>
              <w:rPr>
                <w:rFonts w:hint="default" w:ascii="Times New Roman" w:hAnsi="Times New Roman" w:eastAsia="宋体" w:cs="Times New Roman"/>
                <w:color w:val="auto"/>
                <w:kern w:val="0"/>
                <w:sz w:val="24"/>
                <w:lang w:val="en-US" w:eastAsia="zh-CN"/>
              </w:rPr>
              <w:t>0.5</w:t>
            </w:r>
            <w:r>
              <w:rPr>
                <w:rFonts w:hint="default" w:ascii="Times New Roman" w:hAnsi="Times New Roman" w:eastAsia="宋体" w:cs="Times New Roman"/>
                <w:color w:val="auto"/>
                <w:sz w:val="24"/>
              </w:rPr>
              <w:t>t/a。废活性炭属国家危险废物名录中HW49含有或沾染毒性、感染性危险废物的废弃包装物、容器、过滤吸附介质，废物代码900-041-49。废活性炭由危废容器盛装以后，存放在危险废物暂存库内，并委托有资质部门定期转运处置。</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废紫外线灯管</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vertAlign w:val="subscript"/>
                <w:lang w:val="en-US" w:eastAsia="zh-CN"/>
              </w:rPr>
              <w:t>5</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类比同类型污水处理厂紫外线消毒情况，</w:t>
            </w:r>
            <w:r>
              <w:rPr>
                <w:rFonts w:hint="default" w:ascii="Times New Roman" w:hAnsi="Times New Roman" w:eastAsia="宋体" w:cs="Times New Roman"/>
                <w:color w:val="auto"/>
                <w:sz w:val="24"/>
                <w:lang w:eastAsia="zh-CN"/>
              </w:rPr>
              <w:t>光氧活性炭一体机</w:t>
            </w:r>
            <w:r>
              <w:rPr>
                <w:rFonts w:hint="default" w:ascii="Times New Roman" w:hAnsi="Times New Roman" w:eastAsia="宋体" w:cs="Times New Roman"/>
                <w:color w:val="auto"/>
                <w:sz w:val="24"/>
              </w:rPr>
              <w:t>内共有</w:t>
            </w:r>
            <w:r>
              <w:rPr>
                <w:rFonts w:hint="default" w:ascii="Times New Roman" w:hAnsi="Times New Roman" w:eastAsia="宋体" w:cs="Times New Roman"/>
                <w:color w:val="auto"/>
                <w:sz w:val="24"/>
                <w:lang w:val="en-US" w:eastAsia="zh-CN"/>
              </w:rPr>
              <w:t>60</w:t>
            </w:r>
            <w:r>
              <w:rPr>
                <w:rFonts w:hint="default" w:ascii="Times New Roman" w:hAnsi="Times New Roman" w:eastAsia="宋体" w:cs="Times New Roman"/>
                <w:color w:val="auto"/>
                <w:sz w:val="24"/>
              </w:rPr>
              <w:t>根灯管同时工作。根据《紫外线杀菌灯》（GB19258-2012）“紫外灯的平均寿命不应低于5000h”，本项目年工作时间为8760h。因此，本项目废弃紫外灯约为</w:t>
            </w:r>
            <w:r>
              <w:rPr>
                <w:rFonts w:hint="default" w:ascii="Times New Roman" w:hAnsi="Times New Roman" w:eastAsia="宋体" w:cs="Times New Roman"/>
                <w:color w:val="auto"/>
                <w:sz w:val="24"/>
                <w:lang w:val="en-US" w:eastAsia="zh-CN"/>
              </w:rPr>
              <w:t>60</w:t>
            </w:r>
            <w:r>
              <w:rPr>
                <w:rFonts w:hint="default" w:ascii="Times New Roman" w:hAnsi="Times New Roman" w:eastAsia="宋体" w:cs="Times New Roman"/>
                <w:color w:val="auto"/>
                <w:sz w:val="24"/>
              </w:rPr>
              <w:t>根/年，属于《国家危险废物名录》（2016年）中“HW29含汞废物”，废物代码900-023-29，为危险废物。</w:t>
            </w:r>
            <w:r>
              <w:rPr>
                <w:rFonts w:hint="default" w:ascii="Times New Roman" w:hAnsi="Times New Roman" w:eastAsia="宋体" w:cs="Times New Roman"/>
                <w:color w:val="auto"/>
                <w:sz w:val="24"/>
                <w:lang w:eastAsia="zh-CN"/>
              </w:rPr>
              <w:t>废紫外线灯管</w:t>
            </w:r>
            <w:r>
              <w:rPr>
                <w:rFonts w:hint="default" w:ascii="Times New Roman" w:hAnsi="Times New Roman" w:eastAsia="宋体" w:cs="Times New Roman"/>
                <w:color w:val="auto"/>
                <w:sz w:val="24"/>
              </w:rPr>
              <w:t>由危废容器盛装以后，存放在危险废物暂存库内，并委托有资质部门定期转运处</w:t>
            </w:r>
            <w:r>
              <w:rPr>
                <w:rFonts w:hint="default" w:ascii="Times New Roman" w:hAnsi="Times New Roman" w:eastAsia="宋体" w:cs="Times New Roman"/>
                <w:color w:val="auto"/>
                <w:sz w:val="24"/>
                <w:lang w:eastAsia="zh-CN"/>
              </w:rPr>
              <w:t>置</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snapToGrid/>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固体废物利用处置方式见表7-</w:t>
            </w:r>
            <w:r>
              <w:rPr>
                <w:rFonts w:hint="default"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color w:val="auto"/>
                <w:sz w:val="24"/>
                <w:lang w:val="pt-BR"/>
              </w:rPr>
            </w:pPr>
            <w:r>
              <w:rPr>
                <w:rFonts w:hint="default" w:ascii="Times New Roman" w:hAnsi="Times New Roman" w:eastAsia="宋体" w:cs="Times New Roman"/>
                <w:b/>
                <w:color w:val="auto"/>
                <w:sz w:val="24"/>
                <w:lang w:val="pt-BR"/>
              </w:rPr>
              <w:t>表7-</w:t>
            </w:r>
            <w:r>
              <w:rPr>
                <w:rFonts w:hint="default" w:ascii="Times New Roman" w:hAnsi="Times New Roman" w:eastAsia="宋体" w:cs="Times New Roman"/>
                <w:b/>
                <w:color w:val="auto"/>
                <w:sz w:val="24"/>
                <w:lang w:val="en-US" w:eastAsia="zh-CN"/>
              </w:rPr>
              <w:t xml:space="preserve">21  </w:t>
            </w:r>
            <w:r>
              <w:rPr>
                <w:rFonts w:hint="default" w:ascii="Times New Roman" w:hAnsi="Times New Roman" w:eastAsia="宋体" w:cs="Times New Roman"/>
                <w:b/>
                <w:color w:val="auto"/>
                <w:sz w:val="24"/>
                <w:lang w:val="pt-BR"/>
              </w:rPr>
              <w:t>固体废物利用处置方式一览表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15"/>
              <w:gridCol w:w="1215"/>
              <w:gridCol w:w="1290"/>
              <w:gridCol w:w="1125"/>
              <w:gridCol w:w="35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7"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固体废物名称</w:t>
                  </w:r>
                </w:p>
              </w:tc>
              <w:tc>
                <w:tcPr>
                  <w:tcW w:w="664"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产生工序</w:t>
                  </w:r>
                </w:p>
              </w:tc>
              <w:tc>
                <w:tcPr>
                  <w:tcW w:w="705"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属性</w:t>
                  </w:r>
                </w:p>
              </w:tc>
              <w:tc>
                <w:tcPr>
                  <w:tcW w:w="615"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产生量</w:t>
                  </w:r>
                </w:p>
              </w:tc>
              <w:tc>
                <w:tcPr>
                  <w:tcW w:w="1965"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利用处置方式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7" w:type="pct"/>
                  <w:tcBorders>
                    <w:tl2br w:val="nil"/>
                    <w:tr2bl w:val="nil"/>
                  </w:tcBorders>
                  <w:vAlign w:val="center"/>
                </w:tcPr>
                <w:p>
                  <w:pPr>
                    <w:spacing w:line="240" w:lineRule="auto"/>
                    <w:jc w:val="center"/>
                    <w:textAlignment w:val="baseline"/>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职工生活垃圾S</w:t>
                  </w:r>
                  <w:r>
                    <w:rPr>
                      <w:rFonts w:hint="default" w:ascii="Times New Roman" w:hAnsi="Times New Roman" w:eastAsia="宋体" w:cs="Times New Roman"/>
                      <w:color w:val="auto"/>
                      <w:sz w:val="21"/>
                      <w:szCs w:val="21"/>
                      <w:vertAlign w:val="subscript"/>
                    </w:rPr>
                    <w:t>1</w:t>
                  </w:r>
                </w:p>
              </w:tc>
              <w:tc>
                <w:tcPr>
                  <w:tcW w:w="664"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rPr>
                    <w:t>职工生活</w:t>
                  </w:r>
                </w:p>
              </w:tc>
              <w:tc>
                <w:tcPr>
                  <w:tcW w:w="705" w:type="pc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w:t>
                  </w:r>
                </w:p>
              </w:tc>
              <w:tc>
                <w:tcPr>
                  <w:tcW w:w="615"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rPr>
                    <w:t>3.65t/a</w:t>
                  </w:r>
                </w:p>
              </w:tc>
              <w:tc>
                <w:tcPr>
                  <w:tcW w:w="1965" w:type="pc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经收集装置收集后委托环卫部门统一处理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7" w:type="pct"/>
                  <w:tcBorders>
                    <w:tl2br w:val="nil"/>
                    <w:tr2bl w:val="nil"/>
                  </w:tcBorders>
                  <w:vAlign w:val="center"/>
                </w:tcPr>
                <w:p>
                  <w:pPr>
                    <w:spacing w:line="240" w:lineRule="auto"/>
                    <w:jc w:val="center"/>
                    <w:textAlignment w:val="baseline"/>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snapToGrid w:val="0"/>
                      <w:color w:val="auto"/>
                      <w:kern w:val="0"/>
                      <w:sz w:val="21"/>
                      <w:szCs w:val="21"/>
                    </w:rPr>
                    <w:t>格栅渣S</w:t>
                  </w:r>
                  <w:r>
                    <w:rPr>
                      <w:rFonts w:hint="default" w:ascii="Times New Roman" w:hAnsi="Times New Roman" w:eastAsia="宋体" w:cs="Times New Roman"/>
                      <w:color w:val="auto"/>
                      <w:sz w:val="21"/>
                      <w:szCs w:val="21"/>
                      <w:vertAlign w:val="subscript"/>
                    </w:rPr>
                    <w:t>2</w:t>
                  </w:r>
                </w:p>
              </w:tc>
              <w:tc>
                <w:tcPr>
                  <w:tcW w:w="664" w:type="pct"/>
                  <w:tcBorders>
                    <w:tl2br w:val="nil"/>
                    <w:tr2bl w:val="nil"/>
                  </w:tcBorders>
                  <w:vAlign w:val="center"/>
                </w:tcPr>
                <w:p>
                  <w:pPr>
                    <w:pStyle w:val="70"/>
                    <w:autoSpaceDE w:val="0"/>
                    <w:autoSpaceDN w:val="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格栅池</w:t>
                  </w:r>
                </w:p>
              </w:tc>
              <w:tc>
                <w:tcPr>
                  <w:tcW w:w="705" w:type="pct"/>
                  <w:vMerge w:val="restar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一般工业固体废物</w:t>
                  </w:r>
                </w:p>
              </w:tc>
              <w:tc>
                <w:tcPr>
                  <w:tcW w:w="61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21.9t/a</w:t>
                  </w:r>
                </w:p>
              </w:tc>
              <w:tc>
                <w:tcPr>
                  <w:tcW w:w="1965" w:type="pc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iCs/>
                      <w:color w:val="auto"/>
                      <w:sz w:val="21"/>
                      <w:szCs w:val="21"/>
                    </w:rPr>
                    <w:t>经收集装置收集后委托环卫部门统一处理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7"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iCs/>
                      <w:color w:val="auto"/>
                      <w:sz w:val="21"/>
                      <w:szCs w:val="21"/>
                    </w:rPr>
                    <w:t>污泥S</w:t>
                  </w:r>
                  <w:r>
                    <w:rPr>
                      <w:rFonts w:hint="default" w:ascii="Times New Roman" w:hAnsi="Times New Roman" w:eastAsia="宋体" w:cs="Times New Roman"/>
                      <w:iCs/>
                      <w:color w:val="auto"/>
                      <w:sz w:val="21"/>
                      <w:szCs w:val="21"/>
                      <w:vertAlign w:val="subscript"/>
                    </w:rPr>
                    <w:t>3</w:t>
                  </w:r>
                </w:p>
              </w:tc>
              <w:tc>
                <w:tcPr>
                  <w:tcW w:w="664" w:type="pct"/>
                  <w:tcBorders>
                    <w:tl2br w:val="nil"/>
                    <w:tr2bl w:val="nil"/>
                  </w:tcBorders>
                  <w:vAlign w:val="center"/>
                </w:tcPr>
                <w:p>
                  <w:pPr>
                    <w:pStyle w:val="70"/>
                    <w:autoSpaceDE w:val="0"/>
                    <w:autoSpaceDN w:val="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污泥池</w:t>
                  </w:r>
                </w:p>
              </w:tc>
              <w:tc>
                <w:tcPr>
                  <w:tcW w:w="705" w:type="pct"/>
                  <w:vMerge w:val="continue"/>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rPr>
                  </w:pPr>
                </w:p>
              </w:tc>
              <w:tc>
                <w:tcPr>
                  <w:tcW w:w="61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21.681</w:t>
                  </w:r>
                  <w:r>
                    <w:rPr>
                      <w:rFonts w:hint="default" w:ascii="Times New Roman" w:hAnsi="Times New Roman" w:eastAsia="宋体" w:cs="Times New Roman"/>
                      <w:color w:val="auto"/>
                      <w:sz w:val="21"/>
                      <w:szCs w:val="21"/>
                    </w:rPr>
                    <w:t>t/a</w:t>
                  </w:r>
                </w:p>
              </w:tc>
              <w:tc>
                <w:tcPr>
                  <w:tcW w:w="1965" w:type="pc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rPr>
                  </w:pPr>
                  <w:r>
                    <w:rPr>
                      <w:rFonts w:hint="default" w:ascii="Times New Roman" w:hAnsi="Times New Roman" w:eastAsia="宋体" w:cs="Times New Roman"/>
                      <w:color w:val="auto"/>
                      <w:sz w:val="21"/>
                      <w:szCs w:val="21"/>
                    </w:rPr>
                    <w:t>外运做</w:t>
                  </w:r>
                  <w:r>
                    <w:rPr>
                      <w:rFonts w:hint="default" w:ascii="Times New Roman" w:hAnsi="Times New Roman" w:eastAsia="宋体" w:cs="Times New Roman"/>
                      <w:color w:val="auto"/>
                      <w:sz w:val="21"/>
                      <w:szCs w:val="21"/>
                      <w:lang w:eastAsia="zh-CN"/>
                    </w:rPr>
                    <w:t>至生活垃圾填埋场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7" w:type="pc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lang w:eastAsia="zh-CN"/>
                    </w:rPr>
                  </w:pPr>
                  <w:r>
                    <w:rPr>
                      <w:rFonts w:hint="default" w:ascii="Times New Roman" w:hAnsi="Times New Roman" w:eastAsia="宋体" w:cs="Times New Roman"/>
                      <w:iCs/>
                      <w:color w:val="auto"/>
                      <w:sz w:val="21"/>
                      <w:szCs w:val="21"/>
                      <w:lang w:eastAsia="zh-CN"/>
                    </w:rPr>
                    <w:t>废活性炭</w:t>
                  </w:r>
                  <w:r>
                    <w:rPr>
                      <w:rFonts w:hint="default" w:ascii="Times New Roman" w:hAnsi="Times New Roman" w:eastAsia="宋体" w:cs="Times New Roman"/>
                      <w:iCs/>
                      <w:color w:val="auto"/>
                      <w:sz w:val="21"/>
                      <w:szCs w:val="21"/>
                    </w:rPr>
                    <w:t>S</w:t>
                  </w:r>
                  <w:r>
                    <w:rPr>
                      <w:rFonts w:hint="default" w:ascii="Times New Roman" w:hAnsi="Times New Roman" w:eastAsia="宋体" w:cs="Times New Roman"/>
                      <w:iCs/>
                      <w:color w:val="auto"/>
                      <w:sz w:val="21"/>
                      <w:szCs w:val="21"/>
                      <w:vertAlign w:val="subscript"/>
                    </w:rPr>
                    <w:t>4</w:t>
                  </w:r>
                </w:p>
              </w:tc>
              <w:tc>
                <w:tcPr>
                  <w:tcW w:w="664" w:type="pct"/>
                  <w:vMerge w:val="restart"/>
                  <w:tcBorders>
                    <w:tl2br w:val="nil"/>
                    <w:tr2bl w:val="nil"/>
                  </w:tcBorders>
                  <w:vAlign w:val="center"/>
                </w:tcPr>
                <w:p>
                  <w:pPr>
                    <w:pStyle w:val="70"/>
                    <w:autoSpaceDE w:val="0"/>
                    <w:autoSpaceDN w:val="0"/>
                    <w:spacing w:before="0" w:beforeAutospacing="0" w:after="0" w:afterAutospacing="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lang w:eastAsia="zh-CN"/>
                    </w:rPr>
                    <w:t>光氧活性炭一体机</w:t>
                  </w:r>
                </w:p>
              </w:tc>
              <w:tc>
                <w:tcPr>
                  <w:tcW w:w="705" w:type="pct"/>
                  <w:vMerge w:val="restar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lang w:eastAsia="zh-CN"/>
                    </w:rPr>
                  </w:pPr>
                  <w:r>
                    <w:rPr>
                      <w:rFonts w:hint="default" w:ascii="Times New Roman" w:hAnsi="Times New Roman" w:eastAsia="宋体" w:cs="Times New Roman"/>
                      <w:iCs/>
                      <w:color w:val="auto"/>
                      <w:sz w:val="21"/>
                      <w:szCs w:val="21"/>
                      <w:lang w:eastAsia="zh-CN"/>
                    </w:rPr>
                    <w:t>危险废物</w:t>
                  </w:r>
                </w:p>
              </w:tc>
              <w:tc>
                <w:tcPr>
                  <w:tcW w:w="61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0.5t/a</w:t>
                  </w:r>
                </w:p>
              </w:tc>
              <w:tc>
                <w:tcPr>
                  <w:tcW w:w="1965" w:type="pct"/>
                  <w:vMerge w:val="restar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Cs/>
                      <w:color w:val="auto"/>
                      <w:szCs w:val="21"/>
                    </w:rPr>
                    <w:t>危废间暂存，定期</w:t>
                  </w:r>
                  <w:r>
                    <w:rPr>
                      <w:rFonts w:hint="default" w:ascii="Times New Roman" w:hAnsi="Times New Roman" w:eastAsia="宋体" w:cs="Times New Roman"/>
                      <w:color w:val="auto"/>
                      <w:sz w:val="21"/>
                      <w:szCs w:val="21"/>
                      <w:lang w:eastAsia="zh-CN"/>
                    </w:rPr>
                    <w:t>交由资质单位处置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7" w:type="pct"/>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lang w:eastAsia="zh-CN"/>
                    </w:rPr>
                  </w:pPr>
                  <w:r>
                    <w:rPr>
                      <w:rFonts w:hint="default" w:ascii="Times New Roman" w:hAnsi="Times New Roman" w:eastAsia="宋体" w:cs="Times New Roman"/>
                      <w:iCs/>
                      <w:color w:val="auto"/>
                      <w:sz w:val="21"/>
                      <w:szCs w:val="21"/>
                      <w:lang w:eastAsia="zh-CN"/>
                    </w:rPr>
                    <w:t>废紫外线灯管</w:t>
                  </w:r>
                  <w:r>
                    <w:rPr>
                      <w:rFonts w:hint="default" w:ascii="Times New Roman" w:hAnsi="Times New Roman" w:eastAsia="宋体" w:cs="Times New Roman"/>
                      <w:iCs/>
                      <w:color w:val="auto"/>
                      <w:sz w:val="21"/>
                      <w:szCs w:val="21"/>
                    </w:rPr>
                    <w:t>S</w:t>
                  </w:r>
                  <w:r>
                    <w:rPr>
                      <w:rFonts w:hint="default" w:ascii="Times New Roman" w:hAnsi="Times New Roman" w:eastAsia="宋体" w:cs="Times New Roman"/>
                      <w:iCs/>
                      <w:color w:val="auto"/>
                      <w:sz w:val="21"/>
                      <w:szCs w:val="21"/>
                      <w:vertAlign w:val="subscript"/>
                      <w:lang w:val="en-US" w:eastAsia="zh-CN"/>
                    </w:rPr>
                    <w:t>5</w:t>
                  </w:r>
                </w:p>
              </w:tc>
              <w:tc>
                <w:tcPr>
                  <w:tcW w:w="664" w:type="pct"/>
                  <w:vMerge w:val="continue"/>
                  <w:tcBorders>
                    <w:tl2br w:val="nil"/>
                    <w:tr2bl w:val="nil"/>
                  </w:tcBorders>
                  <w:vAlign w:val="center"/>
                </w:tcPr>
                <w:p>
                  <w:pPr>
                    <w:pStyle w:val="70"/>
                    <w:autoSpaceDE w:val="0"/>
                    <w:autoSpaceDN w:val="0"/>
                    <w:spacing w:before="0" w:beforeAutospacing="0" w:after="0" w:afterAutospacing="0" w:line="240" w:lineRule="auto"/>
                    <w:jc w:val="center"/>
                    <w:rPr>
                      <w:rFonts w:hint="default" w:ascii="Times New Roman" w:hAnsi="Times New Roman" w:eastAsia="宋体" w:cs="Times New Roman"/>
                      <w:color w:val="auto"/>
                      <w:sz w:val="21"/>
                      <w:szCs w:val="21"/>
                    </w:rPr>
                  </w:pPr>
                </w:p>
              </w:tc>
              <w:tc>
                <w:tcPr>
                  <w:tcW w:w="705" w:type="pct"/>
                  <w:vMerge w:val="continue"/>
                  <w:tcBorders>
                    <w:tl2br w:val="nil"/>
                    <w:tr2bl w:val="nil"/>
                  </w:tcBorders>
                  <w:vAlign w:val="center"/>
                </w:tcPr>
                <w:p>
                  <w:pPr>
                    <w:spacing w:line="240" w:lineRule="auto"/>
                    <w:jc w:val="center"/>
                    <w:textAlignment w:val="baseline"/>
                    <w:rPr>
                      <w:rFonts w:hint="default" w:ascii="Times New Roman" w:hAnsi="Times New Roman" w:eastAsia="宋体" w:cs="Times New Roman"/>
                      <w:iCs/>
                      <w:color w:val="auto"/>
                      <w:sz w:val="21"/>
                      <w:szCs w:val="21"/>
                      <w:lang w:eastAsia="zh-CN"/>
                    </w:rPr>
                  </w:pPr>
                </w:p>
              </w:tc>
              <w:tc>
                <w:tcPr>
                  <w:tcW w:w="61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60根</w:t>
                  </w:r>
                </w:p>
              </w:tc>
              <w:tc>
                <w:tcPr>
                  <w:tcW w:w="1965" w:type="pct"/>
                  <w:vMerge w:val="continue"/>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lang w:eastAsia="zh-CN"/>
                    </w:rPr>
                  </w:pPr>
                </w:p>
              </w:tc>
            </w:tr>
          </w:tbl>
          <w:p>
            <w:pPr>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w:t>
            </w:r>
            <w:r>
              <w:rPr>
                <w:rFonts w:hint="default" w:ascii="Times New Roman" w:hAnsi="Times New Roman" w:eastAsia="宋体" w:cs="Times New Roman"/>
                <w:bCs/>
                <w:color w:val="auto"/>
                <w:sz w:val="24"/>
              </w:rPr>
              <w:t>污染防治措施</w:t>
            </w:r>
          </w:p>
          <w:p>
            <w:pPr>
              <w:spacing w:line="480" w:lineRule="exact"/>
              <w:ind w:firstLine="480" w:firstLineChars="200"/>
              <w:jc w:val="left"/>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项目拟</w:t>
            </w:r>
            <w:r>
              <w:rPr>
                <w:rFonts w:hint="default" w:ascii="Times New Roman" w:hAnsi="Times New Roman" w:eastAsia="宋体" w:cs="Times New Roman"/>
                <w:bCs/>
                <w:color w:val="auto"/>
                <w:sz w:val="24"/>
                <w:lang w:eastAsia="zh-CN"/>
              </w:rPr>
              <w:t>危险废物暂存间</w:t>
            </w:r>
            <w:r>
              <w:rPr>
                <w:rFonts w:hint="default" w:ascii="Times New Roman" w:hAnsi="Times New Roman" w:eastAsia="宋体" w:cs="Times New Roman"/>
                <w:bCs/>
                <w:color w:val="auto"/>
                <w:sz w:val="24"/>
              </w:rPr>
              <w:t>。</w:t>
            </w:r>
          </w:p>
          <w:p>
            <w:pPr>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危废暂存间设置需按《危险废物贮存污染控制标准》（GB18597-2001）及其2013年修改单的要求，</w:t>
            </w:r>
            <w:r>
              <w:rPr>
                <w:rFonts w:hint="default" w:ascii="Times New Roman" w:hAnsi="Times New Roman" w:eastAsia="宋体" w:cs="Times New Roman"/>
                <w:bCs/>
                <w:color w:val="auto"/>
                <w:sz w:val="24"/>
                <w:lang w:eastAsia="zh-CN"/>
              </w:rPr>
              <w:t>环评对本工程中危险废物的收集、运输、转移及储存提出以下要求：</w:t>
            </w:r>
          </w:p>
          <w:p>
            <w:pPr>
              <w:spacing w:line="480" w:lineRule="exact"/>
              <w:ind w:firstLine="48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lang w:eastAsia="zh-CN"/>
              </w:rPr>
              <w:t>危险废物贮存专用库房。</w:t>
            </w:r>
          </w:p>
          <w:p>
            <w:pPr>
              <w:spacing w:line="48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根据本工程的特点，规划设置一个危废暂存间，用于存放危险废物，此暂存间需进行基础防渗，评价要求防渗层为至少</w:t>
            </w:r>
            <w:r>
              <w:rPr>
                <w:rFonts w:hint="default" w:ascii="Times New Roman" w:hAnsi="Times New Roman" w:eastAsia="宋体" w:cs="Times New Roman"/>
                <w:color w:val="auto"/>
                <w:sz w:val="24"/>
                <w:lang w:val="en-US" w:eastAsia="zh-CN"/>
              </w:rPr>
              <w:t>1m厚土层（渗透系数≤10-</w:t>
            </w:r>
            <w:r>
              <w:rPr>
                <w:rFonts w:hint="default" w:ascii="Times New Roman" w:hAnsi="Times New Roman" w:eastAsia="宋体" w:cs="Times New Roman"/>
                <w:color w:val="auto"/>
                <w:sz w:val="24"/>
                <w:vertAlign w:val="superscript"/>
                <w:lang w:val="en-US" w:eastAsia="zh-CN"/>
              </w:rPr>
              <w:t>7</w:t>
            </w:r>
            <w:r>
              <w:rPr>
                <w:rFonts w:hint="default" w:ascii="Times New Roman" w:hAnsi="Times New Roman" w:eastAsia="宋体" w:cs="Times New Roman"/>
                <w:color w:val="auto"/>
                <w:sz w:val="24"/>
                <w:lang w:val="en-US" w:eastAsia="zh-CN"/>
              </w:rPr>
              <w:t>cm/s），或至少2mm厚高密度聚乙烯（HDPE）渗透系数≤10-</w:t>
            </w:r>
            <w:r>
              <w:rPr>
                <w:rFonts w:hint="default" w:ascii="Times New Roman" w:hAnsi="Times New Roman" w:eastAsia="宋体" w:cs="Times New Roman"/>
                <w:color w:val="auto"/>
                <w:sz w:val="24"/>
                <w:vertAlign w:val="superscript"/>
                <w:lang w:val="en-US" w:eastAsia="zh-CN"/>
              </w:rPr>
              <w:t>7</w:t>
            </w:r>
            <w:r>
              <w:rPr>
                <w:rFonts w:hint="default" w:ascii="Times New Roman" w:hAnsi="Times New Roman" w:eastAsia="宋体" w:cs="Times New Roman"/>
                <w:color w:val="auto"/>
                <w:sz w:val="24"/>
                <w:lang w:val="en-US" w:eastAsia="zh-CN"/>
              </w:rPr>
              <w:t>cm/s；</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lang w:eastAsia="zh-CN"/>
              </w:rPr>
              <w:t>危险废物必须分别装入符合标准的容器内，禁止将不相容（相互反应）的危险废物在同一容器内混装；</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lang w:eastAsia="zh-CN"/>
              </w:rPr>
              <w:t>装危险废物的容器内必须留足够的空间，容器顶部与危废表面之间留</w:t>
            </w:r>
            <w:r>
              <w:rPr>
                <w:rFonts w:hint="default" w:ascii="Times New Roman" w:hAnsi="Times New Roman" w:eastAsia="宋体" w:cs="Times New Roman"/>
                <w:color w:val="auto"/>
                <w:sz w:val="24"/>
                <w:lang w:val="en-US" w:eastAsia="zh-CN"/>
              </w:rPr>
              <w:t>100mm以上的空间</w:t>
            </w:r>
            <w:r>
              <w:rPr>
                <w:rFonts w:hint="default" w:ascii="Times New Roman" w:hAnsi="Times New Roman" w:eastAsia="宋体" w:cs="Times New Roman"/>
                <w:color w:val="auto"/>
                <w:sz w:val="24"/>
              </w:rPr>
              <w:t>；</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lang w:eastAsia="zh-CN"/>
              </w:rPr>
              <w:t>盛装危险废物的容器上必须粘贴符合《危险废物贮存污染控制标准》（</w:t>
            </w:r>
            <w:r>
              <w:rPr>
                <w:rFonts w:hint="default" w:ascii="Times New Roman" w:hAnsi="Times New Roman" w:eastAsia="宋体" w:cs="Times New Roman"/>
                <w:color w:val="auto"/>
                <w:sz w:val="24"/>
                <w:lang w:val="en-US" w:eastAsia="zh-CN"/>
              </w:rPr>
              <w:t>GB18597-2001</w:t>
            </w:r>
            <w:r>
              <w:rPr>
                <w:rFonts w:hint="default" w:ascii="Times New Roman" w:hAnsi="Times New Roman" w:eastAsia="宋体" w:cs="Times New Roman"/>
                <w:color w:val="auto"/>
                <w:sz w:val="24"/>
                <w:lang w:eastAsia="zh-CN"/>
              </w:rPr>
              <w:t>）附录</w:t>
            </w:r>
            <w:r>
              <w:rPr>
                <w:rFonts w:hint="default" w:ascii="Times New Roman" w:hAnsi="Times New Roman" w:eastAsia="宋体" w:cs="Times New Roman"/>
                <w:color w:val="auto"/>
                <w:sz w:val="24"/>
                <w:lang w:val="en-US" w:eastAsia="zh-CN"/>
              </w:rPr>
              <w:t>A中所示的标签</w:t>
            </w:r>
            <w:r>
              <w:rPr>
                <w:rFonts w:hint="default" w:ascii="Times New Roman" w:hAnsi="Times New Roman" w:eastAsia="宋体" w:cs="Times New Roman"/>
                <w:color w:val="auto"/>
                <w:sz w:val="24"/>
              </w:rPr>
              <w:t>；</w:t>
            </w:r>
          </w:p>
          <w:p>
            <w:pPr>
              <w:spacing w:line="480" w:lineRule="exact"/>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lang w:eastAsia="zh-CN"/>
              </w:rPr>
              <w:t>危废间不得接收未粘贴上述规定的标签或标签填写不规范的危险废物；</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⑥必须</w:t>
            </w:r>
            <w:r>
              <w:rPr>
                <w:rFonts w:hint="default" w:ascii="Times New Roman" w:hAnsi="Times New Roman" w:eastAsia="宋体" w:cs="Times New Roman"/>
                <w:color w:val="auto"/>
                <w:sz w:val="24"/>
              </w:rPr>
              <w:t>作好危险废物情况的记录，记录上注明危险废物的名称、来源、数量、特性和包装容器的类别、入库日期、存放库位、废物出库日期及接收单位名称</w:t>
            </w:r>
            <w:r>
              <w:rPr>
                <w:rFonts w:hint="default" w:ascii="Times New Roman" w:hAnsi="Times New Roman" w:eastAsia="宋体" w:cs="Times New Roman"/>
                <w:color w:val="auto"/>
                <w:sz w:val="24"/>
                <w:lang w:eastAsia="zh-CN"/>
              </w:rPr>
              <w:t>，危险废物的记录和货单在危险废物回取后应继续保留三年；</w:t>
            </w:r>
          </w:p>
          <w:p>
            <w:pPr>
              <w:spacing w:line="480" w:lineRule="exact"/>
              <w:ind w:firstLine="480" w:firstLineChars="200"/>
              <w:jc w:val="left"/>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⑦必须定期对所贮存的危险废物包装容器及贮存设施进行检查，发现破损，应及时采取措施清理更换；</w:t>
            </w:r>
          </w:p>
          <w:p>
            <w:pPr>
              <w:spacing w:line="480" w:lineRule="exact"/>
              <w:ind w:firstLine="480" w:firstLineChars="200"/>
              <w:jc w:val="left"/>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⑧危险废物贮存库房设置灭火器等防火设备，做好火灾预防工作；</w:t>
            </w:r>
          </w:p>
          <w:p>
            <w:pPr>
              <w:spacing w:line="480" w:lineRule="exact"/>
              <w:ind w:firstLine="480" w:firstLineChars="200"/>
              <w:jc w:val="left"/>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⑨在转移危险废物前，建设单位必须按照国家有关规定报批危险废物转移计划；经批准后，产生单位应当向当地环境保护行政主管部门申请领取联单，并同时预期到达时间报告接受当地环境保护行政主管部门；</w:t>
            </w:r>
          </w:p>
          <w:p>
            <w:pPr>
              <w:spacing w:line="480" w:lineRule="exact"/>
              <w:ind w:firstLine="480" w:firstLineChars="200"/>
              <w:jc w:val="left"/>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⑩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spacing w:line="480" w:lineRule="exact"/>
              <w:ind w:firstLine="480" w:firstLineChars="200"/>
              <w:jc w:val="left"/>
              <w:textAlignment w:val="baseline"/>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联单保存期限为五年；贮存危险废物的，其联单保存期限于危险废物贮存期限相同。</w:t>
            </w:r>
          </w:p>
          <w:p>
            <w:pPr>
              <w:spacing w:line="480" w:lineRule="exact"/>
              <w:ind w:firstLine="480" w:firstLineChars="200"/>
              <w:jc w:val="left"/>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危险废物贮存场所基本情况见表</w:t>
            </w:r>
            <w:r>
              <w:rPr>
                <w:rFonts w:hint="default" w:ascii="Times New Roman" w:hAnsi="Times New Roman" w:eastAsia="宋体" w:cs="Times New Roman"/>
                <w:color w:val="auto"/>
                <w:sz w:val="24"/>
                <w:lang w:val="en-US" w:eastAsia="zh-CN"/>
              </w:rPr>
              <w:t>7-22。</w:t>
            </w:r>
          </w:p>
          <w:p>
            <w:pPr>
              <w:autoSpaceDE w:val="0"/>
              <w:autoSpaceDN w:val="0"/>
              <w:spacing w:line="480" w:lineRule="exact"/>
              <w:jc w:val="center"/>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表7-</w:t>
            </w:r>
            <w:r>
              <w:rPr>
                <w:rFonts w:hint="default" w:ascii="Times New Roman" w:hAnsi="Times New Roman" w:eastAsia="宋体" w:cs="Times New Roman"/>
                <w:b/>
                <w:bCs/>
                <w:color w:val="auto"/>
                <w:sz w:val="24"/>
                <w:lang w:val="en-US" w:eastAsia="zh-CN"/>
              </w:rPr>
              <w:t>22</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eastAsia="zh-CN"/>
              </w:rPr>
              <w:t>危险废物贮存场所基本情况表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4"/>
              <w:gridCol w:w="945"/>
              <w:gridCol w:w="825"/>
              <w:gridCol w:w="1350"/>
              <w:gridCol w:w="1080"/>
              <w:gridCol w:w="780"/>
              <w:gridCol w:w="1125"/>
              <w:gridCol w:w="1095"/>
              <w:gridCol w:w="10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2"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名称</w:t>
                  </w:r>
                </w:p>
              </w:tc>
              <w:tc>
                <w:tcPr>
                  <w:tcW w:w="517"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危险废物名称</w:t>
                  </w:r>
                </w:p>
              </w:tc>
              <w:tc>
                <w:tcPr>
                  <w:tcW w:w="451"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color w:val="auto"/>
                      <w:szCs w:val="21"/>
                      <w:lang w:eastAsia="zh-CN"/>
                    </w:rPr>
                    <w:t>废物类别</w:t>
                  </w:r>
                </w:p>
              </w:tc>
              <w:tc>
                <w:tcPr>
                  <w:tcW w:w="738"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废物代码</w:t>
                  </w:r>
                </w:p>
              </w:tc>
              <w:tc>
                <w:tcPr>
                  <w:tcW w:w="590"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位置</w:t>
                  </w:r>
                </w:p>
              </w:tc>
              <w:tc>
                <w:tcPr>
                  <w:tcW w:w="426"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占地面积</w:t>
                  </w:r>
                </w:p>
              </w:tc>
              <w:tc>
                <w:tcPr>
                  <w:tcW w:w="615"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贮存方式</w:t>
                  </w:r>
                </w:p>
              </w:tc>
              <w:tc>
                <w:tcPr>
                  <w:tcW w:w="599"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贮存能力</w:t>
                  </w:r>
                </w:p>
              </w:tc>
              <w:tc>
                <w:tcPr>
                  <w:tcW w:w="587" w:type="pct"/>
                  <w:tcBorders>
                    <w:tl2br w:val="nil"/>
                    <w:tr2bl w:val="nil"/>
                  </w:tcBorders>
                  <w:vAlign w:val="center"/>
                </w:tcPr>
                <w:p>
                  <w:pPr>
                    <w:jc w:val="center"/>
                    <w:textAlignment w:val="baseline"/>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lang w:eastAsia="zh-CN"/>
                    </w:rPr>
                    <w:t>贮存周期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2" w:type="pct"/>
                  <w:vMerge w:val="restart"/>
                  <w:tcBorders>
                    <w:tl2br w:val="nil"/>
                    <w:tr2bl w:val="nil"/>
                  </w:tcBorders>
                  <w:vAlign w:val="center"/>
                </w:tcPr>
                <w:p>
                  <w:pPr>
                    <w:jc w:val="center"/>
                    <w:textAlignment w:val="baseline"/>
                    <w:rPr>
                      <w:rFonts w:hint="default" w:ascii="Times New Roman" w:hAnsi="Times New Roman" w:eastAsia="宋体" w:cs="Times New Roman"/>
                      <w:snapToGrid w:val="0"/>
                      <w:color w:val="auto"/>
                      <w:kern w:val="0"/>
                      <w:szCs w:val="21"/>
                      <w:lang w:eastAsia="zh-CN"/>
                    </w:rPr>
                  </w:pPr>
                  <w:r>
                    <w:rPr>
                      <w:rFonts w:hint="default" w:ascii="Times New Roman" w:hAnsi="Times New Roman" w:eastAsia="宋体" w:cs="Times New Roman"/>
                      <w:color w:val="auto"/>
                      <w:szCs w:val="21"/>
                      <w:lang w:eastAsia="zh-CN"/>
                    </w:rPr>
                    <w:t>危废暂存间</w:t>
                  </w:r>
                </w:p>
              </w:tc>
              <w:tc>
                <w:tcPr>
                  <w:tcW w:w="517" w:type="pct"/>
                  <w:tcBorders>
                    <w:tl2br w:val="nil"/>
                    <w:tr2bl w:val="nil"/>
                  </w:tcBorders>
                  <w:vAlign w:val="center"/>
                </w:tcPr>
                <w:p>
                  <w:pPr>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废</w:t>
                  </w:r>
                  <w:r>
                    <w:rPr>
                      <w:rFonts w:hint="default" w:ascii="Times New Roman" w:hAnsi="Times New Roman" w:eastAsia="宋体" w:cs="Times New Roman"/>
                      <w:color w:val="auto"/>
                      <w:szCs w:val="21"/>
                      <w:lang w:eastAsia="zh-CN"/>
                    </w:rPr>
                    <w:t>紫外线灯管</w:t>
                  </w:r>
                </w:p>
              </w:tc>
              <w:tc>
                <w:tcPr>
                  <w:tcW w:w="451" w:type="pct"/>
                  <w:tcBorders>
                    <w:tl2br w:val="nil"/>
                    <w:tr2bl w:val="nil"/>
                  </w:tcBorders>
                  <w:vAlign w:val="center"/>
                </w:tcPr>
                <w:p>
                  <w:pPr>
                    <w:jc w:val="center"/>
                    <w:textAlignment w:val="baseline"/>
                    <w:rPr>
                      <w:rFonts w:hint="default" w:ascii="Times New Roman" w:hAnsi="Times New Roman" w:eastAsia="宋体" w:cs="Times New Roman"/>
                      <w:iCs/>
                      <w:color w:val="auto"/>
                      <w:szCs w:val="21"/>
                      <w:lang w:val="en-US" w:eastAsia="zh-CN"/>
                    </w:rPr>
                  </w:pPr>
                  <w:r>
                    <w:rPr>
                      <w:rFonts w:hint="default" w:ascii="Times New Roman" w:hAnsi="Times New Roman" w:eastAsia="宋体" w:cs="Times New Roman"/>
                      <w:iCs/>
                      <w:color w:val="auto"/>
                      <w:szCs w:val="21"/>
                      <w:lang w:val="en-US" w:eastAsia="zh-CN"/>
                    </w:rPr>
                    <w:t>HW29</w:t>
                  </w:r>
                </w:p>
              </w:tc>
              <w:tc>
                <w:tcPr>
                  <w:tcW w:w="738" w:type="pct"/>
                  <w:tcBorders>
                    <w:tl2br w:val="nil"/>
                    <w:tr2bl w:val="nil"/>
                  </w:tcBorders>
                  <w:vAlign w:val="center"/>
                </w:tcPr>
                <w:p>
                  <w:pPr>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900-023-29</w:t>
                  </w:r>
                </w:p>
              </w:tc>
              <w:tc>
                <w:tcPr>
                  <w:tcW w:w="590" w:type="pct"/>
                  <w:vMerge w:val="restart"/>
                  <w:tcBorders>
                    <w:tl2br w:val="nil"/>
                    <w:tr2bl w:val="nil"/>
                  </w:tcBorders>
                  <w:vAlign w:val="center"/>
                </w:tcPr>
                <w:p>
                  <w:pPr>
                    <w:jc w:val="center"/>
                    <w:textAlignment w:val="baseline"/>
                    <w:rPr>
                      <w:rFonts w:hint="default" w:ascii="Times New Roman" w:hAnsi="Times New Roman" w:eastAsia="宋体" w:cs="Times New Roman"/>
                      <w:iCs/>
                      <w:color w:val="auto"/>
                      <w:szCs w:val="21"/>
                      <w:lang w:eastAsia="zh-CN"/>
                    </w:rPr>
                  </w:pPr>
                  <w:r>
                    <w:rPr>
                      <w:rFonts w:hint="default" w:ascii="Times New Roman" w:hAnsi="Times New Roman" w:eastAsia="宋体" w:cs="Times New Roman"/>
                      <w:color w:val="auto"/>
                      <w:sz w:val="21"/>
                      <w:szCs w:val="24"/>
                      <w:lang w:eastAsia="zh-CN"/>
                    </w:rPr>
                    <w:t>站区北</w:t>
                  </w:r>
                  <w:r>
                    <w:rPr>
                      <w:rFonts w:hint="default" w:ascii="Times New Roman" w:hAnsi="Times New Roman" w:eastAsia="宋体" w:cs="Times New Roman"/>
                      <w:iCs/>
                      <w:color w:val="auto"/>
                      <w:szCs w:val="21"/>
                      <w:lang w:eastAsia="zh-CN"/>
                    </w:rPr>
                    <w:t>侧</w:t>
                  </w:r>
                </w:p>
              </w:tc>
              <w:tc>
                <w:tcPr>
                  <w:tcW w:w="426" w:type="pct"/>
                  <w:vMerge w:val="restart"/>
                  <w:tcBorders>
                    <w:tl2br w:val="nil"/>
                    <w:tr2bl w:val="nil"/>
                  </w:tcBorders>
                  <w:vAlign w:val="center"/>
                </w:tcPr>
                <w:p>
                  <w:pPr>
                    <w:jc w:val="center"/>
                    <w:textAlignment w:val="baseline"/>
                    <w:rPr>
                      <w:rFonts w:hint="default" w:ascii="Times New Roman" w:hAnsi="Times New Roman" w:eastAsia="宋体" w:cs="Times New Roman"/>
                      <w:iCs/>
                      <w:color w:val="auto"/>
                      <w:szCs w:val="21"/>
                      <w:lang w:val="en-US" w:eastAsia="zh-CN"/>
                    </w:rPr>
                  </w:pPr>
                  <w:r>
                    <w:rPr>
                      <w:rFonts w:hint="default" w:ascii="Times New Roman" w:hAnsi="Times New Roman" w:eastAsia="宋体" w:cs="Times New Roman"/>
                      <w:iCs/>
                      <w:color w:val="auto"/>
                      <w:szCs w:val="21"/>
                      <w:lang w:val="en-US" w:eastAsia="zh-CN"/>
                    </w:rPr>
                    <w:t>5㎡</w:t>
                  </w:r>
                </w:p>
              </w:tc>
              <w:tc>
                <w:tcPr>
                  <w:tcW w:w="615" w:type="pct"/>
                  <w:vMerge w:val="restart"/>
                  <w:tcBorders>
                    <w:tl2br w:val="nil"/>
                    <w:tr2bl w:val="nil"/>
                  </w:tcBorders>
                  <w:vAlign w:val="center"/>
                </w:tcPr>
                <w:p>
                  <w:pPr>
                    <w:jc w:val="center"/>
                    <w:textAlignment w:val="baseline"/>
                    <w:rPr>
                      <w:rFonts w:hint="default" w:ascii="Times New Roman" w:hAnsi="Times New Roman" w:eastAsia="宋体" w:cs="Times New Roman"/>
                      <w:iCs/>
                      <w:color w:val="auto"/>
                      <w:szCs w:val="21"/>
                      <w:lang w:eastAsia="zh-CN"/>
                    </w:rPr>
                  </w:pPr>
                  <w:r>
                    <w:rPr>
                      <w:rFonts w:hint="default" w:ascii="Times New Roman" w:hAnsi="Times New Roman" w:eastAsia="宋体" w:cs="Times New Roman"/>
                      <w:iCs/>
                      <w:color w:val="auto"/>
                      <w:szCs w:val="21"/>
                      <w:lang w:eastAsia="zh-CN"/>
                    </w:rPr>
                    <w:t>密闭容器</w:t>
                  </w:r>
                </w:p>
              </w:tc>
              <w:tc>
                <w:tcPr>
                  <w:tcW w:w="599" w:type="pct"/>
                  <w:tcBorders>
                    <w:tl2br w:val="nil"/>
                    <w:tr2bl w:val="nil"/>
                  </w:tcBorders>
                  <w:vAlign w:val="center"/>
                </w:tcPr>
                <w:p>
                  <w:pPr>
                    <w:jc w:val="center"/>
                    <w:textAlignment w:val="baseline"/>
                    <w:rPr>
                      <w:rFonts w:hint="default" w:ascii="Times New Roman" w:hAnsi="Times New Roman" w:eastAsia="宋体" w:cs="Times New Roman"/>
                      <w:iCs/>
                      <w:color w:val="auto"/>
                      <w:szCs w:val="21"/>
                      <w:lang w:eastAsia="zh-CN"/>
                    </w:rPr>
                  </w:pPr>
                  <w:r>
                    <w:rPr>
                      <w:rFonts w:hint="default" w:ascii="Times New Roman" w:hAnsi="Times New Roman" w:eastAsia="宋体" w:cs="Times New Roman"/>
                      <w:iCs/>
                      <w:color w:val="auto"/>
                      <w:szCs w:val="21"/>
                      <w:lang w:val="en-US" w:eastAsia="zh-CN"/>
                    </w:rPr>
                    <w:t>60根</w:t>
                  </w:r>
                </w:p>
              </w:tc>
              <w:tc>
                <w:tcPr>
                  <w:tcW w:w="587" w:type="pct"/>
                  <w:vMerge w:val="restart"/>
                  <w:tcBorders>
                    <w:tl2br w:val="nil"/>
                    <w:tr2bl w:val="nil"/>
                  </w:tcBorders>
                  <w:vAlign w:val="center"/>
                </w:tcPr>
                <w:p>
                  <w:pPr>
                    <w:jc w:val="center"/>
                    <w:textAlignment w:val="baseline"/>
                    <w:rPr>
                      <w:rFonts w:hint="default" w:ascii="Times New Roman" w:hAnsi="Times New Roman" w:eastAsia="宋体" w:cs="Times New Roman"/>
                      <w:iCs/>
                      <w:color w:val="auto"/>
                      <w:szCs w:val="21"/>
                      <w:lang w:val="en-US" w:eastAsia="zh-CN"/>
                    </w:rPr>
                  </w:pPr>
                  <w:r>
                    <w:rPr>
                      <w:rFonts w:hint="default" w:ascii="Times New Roman" w:hAnsi="Times New Roman" w:eastAsia="宋体" w:cs="Times New Roman"/>
                      <w:iCs/>
                      <w:color w:val="auto"/>
                      <w:szCs w:val="21"/>
                      <w:lang w:val="en-US" w:eastAsia="zh-CN"/>
                    </w:rPr>
                    <w:t>6个月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2" w:type="pct"/>
                  <w:vMerge w:val="continue"/>
                  <w:tcBorders>
                    <w:tl2br w:val="nil"/>
                    <w:tr2bl w:val="nil"/>
                  </w:tcBorders>
                  <w:vAlign w:val="center"/>
                </w:tcPr>
                <w:p>
                  <w:pPr>
                    <w:jc w:val="center"/>
                    <w:textAlignment w:val="baseline"/>
                    <w:rPr>
                      <w:rFonts w:hint="default" w:ascii="Times New Roman" w:hAnsi="Times New Roman" w:eastAsia="宋体" w:cs="Times New Roman"/>
                      <w:color w:val="auto"/>
                      <w:szCs w:val="21"/>
                      <w:lang w:eastAsia="zh-CN"/>
                    </w:rPr>
                  </w:pPr>
                </w:p>
              </w:tc>
              <w:tc>
                <w:tcPr>
                  <w:tcW w:w="517" w:type="pct"/>
                  <w:tcBorders>
                    <w:tl2br w:val="nil"/>
                    <w:tr2bl w:val="nil"/>
                  </w:tcBorders>
                  <w:vAlign w:val="center"/>
                </w:tcPr>
                <w:p>
                  <w:pPr>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废活性炭</w:t>
                  </w:r>
                </w:p>
              </w:tc>
              <w:tc>
                <w:tcPr>
                  <w:tcW w:w="451" w:type="pct"/>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lang w:val="en-US" w:eastAsia="zh-CN"/>
                    </w:rPr>
                  </w:pPr>
                  <w:r>
                    <w:rPr>
                      <w:rFonts w:hint="default" w:ascii="Times New Roman" w:hAnsi="Times New Roman" w:eastAsia="宋体" w:cs="Times New Roman"/>
                      <w:iCs/>
                      <w:color w:val="auto"/>
                      <w:szCs w:val="21"/>
                    </w:rPr>
                    <w:t>HW49</w:t>
                  </w:r>
                </w:p>
              </w:tc>
              <w:tc>
                <w:tcPr>
                  <w:tcW w:w="738" w:type="pct"/>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Cs/>
                      <w:color w:val="auto"/>
                      <w:szCs w:val="21"/>
                    </w:rPr>
                    <w:t>900-041-49</w:t>
                  </w:r>
                </w:p>
              </w:tc>
              <w:tc>
                <w:tcPr>
                  <w:tcW w:w="590" w:type="pct"/>
                  <w:vMerge w:val="continue"/>
                  <w:tcBorders>
                    <w:tl2br w:val="nil"/>
                    <w:tr2bl w:val="nil"/>
                  </w:tcBorders>
                  <w:vAlign w:val="center"/>
                </w:tcPr>
                <w:p>
                  <w:pPr>
                    <w:jc w:val="center"/>
                    <w:textAlignment w:val="baseline"/>
                    <w:rPr>
                      <w:rFonts w:hint="default" w:ascii="Times New Roman" w:hAnsi="Times New Roman" w:eastAsia="宋体" w:cs="Times New Roman"/>
                      <w:color w:val="auto"/>
                      <w:sz w:val="21"/>
                      <w:szCs w:val="24"/>
                      <w:lang w:eastAsia="zh-CN"/>
                    </w:rPr>
                  </w:pPr>
                </w:p>
              </w:tc>
              <w:tc>
                <w:tcPr>
                  <w:tcW w:w="426" w:type="pct"/>
                  <w:vMerge w:val="continue"/>
                  <w:tcBorders>
                    <w:tl2br w:val="nil"/>
                    <w:tr2bl w:val="nil"/>
                  </w:tcBorders>
                  <w:vAlign w:val="center"/>
                </w:tcPr>
                <w:p>
                  <w:pPr>
                    <w:jc w:val="center"/>
                    <w:textAlignment w:val="baseline"/>
                    <w:rPr>
                      <w:rFonts w:hint="default" w:ascii="Times New Roman" w:hAnsi="Times New Roman" w:eastAsia="宋体" w:cs="Times New Roman"/>
                      <w:iCs/>
                      <w:color w:val="auto"/>
                      <w:szCs w:val="21"/>
                      <w:lang w:val="en-US" w:eastAsia="zh-CN"/>
                    </w:rPr>
                  </w:pPr>
                </w:p>
              </w:tc>
              <w:tc>
                <w:tcPr>
                  <w:tcW w:w="615" w:type="pct"/>
                  <w:vMerge w:val="continue"/>
                  <w:tcBorders>
                    <w:tl2br w:val="nil"/>
                    <w:tr2bl w:val="nil"/>
                  </w:tcBorders>
                  <w:vAlign w:val="center"/>
                </w:tcPr>
                <w:p>
                  <w:pPr>
                    <w:jc w:val="center"/>
                    <w:textAlignment w:val="baseline"/>
                    <w:rPr>
                      <w:rFonts w:hint="default" w:ascii="Times New Roman" w:hAnsi="Times New Roman" w:eastAsia="宋体" w:cs="Times New Roman"/>
                      <w:iCs/>
                      <w:color w:val="auto"/>
                      <w:szCs w:val="21"/>
                      <w:lang w:eastAsia="zh-CN"/>
                    </w:rPr>
                  </w:pPr>
                </w:p>
              </w:tc>
              <w:tc>
                <w:tcPr>
                  <w:tcW w:w="599" w:type="pct"/>
                  <w:tcBorders>
                    <w:tl2br w:val="nil"/>
                    <w:tr2bl w:val="nil"/>
                  </w:tcBorders>
                  <w:vAlign w:val="center"/>
                </w:tcPr>
                <w:p>
                  <w:pPr>
                    <w:jc w:val="center"/>
                    <w:textAlignment w:val="baseline"/>
                    <w:rPr>
                      <w:rFonts w:hint="default" w:ascii="Times New Roman" w:hAnsi="Times New Roman" w:eastAsia="宋体" w:cs="Times New Roman"/>
                      <w:iCs/>
                      <w:color w:val="auto"/>
                      <w:szCs w:val="21"/>
                      <w:lang w:val="en-US" w:eastAsia="zh-CN"/>
                    </w:rPr>
                  </w:pPr>
                  <w:r>
                    <w:rPr>
                      <w:rFonts w:hint="default" w:ascii="Times New Roman" w:hAnsi="Times New Roman" w:eastAsia="宋体" w:cs="Times New Roman"/>
                      <w:iCs/>
                      <w:color w:val="auto"/>
                      <w:szCs w:val="21"/>
                      <w:lang w:val="en-US" w:eastAsia="zh-CN"/>
                    </w:rPr>
                    <w:t>0.5</w:t>
                  </w:r>
                </w:p>
              </w:tc>
              <w:tc>
                <w:tcPr>
                  <w:tcW w:w="587" w:type="pct"/>
                  <w:vMerge w:val="continue"/>
                  <w:tcBorders>
                    <w:tl2br w:val="nil"/>
                    <w:tr2bl w:val="nil"/>
                  </w:tcBorders>
                  <w:vAlign w:val="center"/>
                </w:tcPr>
                <w:p>
                  <w:pPr>
                    <w:jc w:val="center"/>
                    <w:textAlignment w:val="baseline"/>
                    <w:rPr>
                      <w:rFonts w:hint="default" w:ascii="Times New Roman" w:hAnsi="Times New Roman" w:eastAsia="宋体" w:cs="Times New Roman"/>
                      <w:iCs/>
                      <w:color w:val="auto"/>
                      <w:szCs w:val="21"/>
                      <w:lang w:val="en-US" w:eastAsia="zh-CN"/>
                    </w:rPr>
                  </w:pPr>
                </w:p>
              </w:tc>
            </w:tr>
          </w:tbl>
          <w:p>
            <w:pPr>
              <w:spacing w:line="480" w:lineRule="exact"/>
              <w:ind w:firstLine="480" w:firstLineChars="200"/>
              <w:jc w:val="left"/>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（4）运输过程的污染防治措施</w:t>
            </w:r>
          </w:p>
          <w:p>
            <w:pPr>
              <w:spacing w:line="480" w:lineRule="exact"/>
              <w:ind w:firstLine="480" w:firstLineChars="200"/>
              <w:jc w:val="left"/>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危险废物</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bCs/>
                <w:color w:val="auto"/>
                <w:sz w:val="24"/>
              </w:rPr>
              <w:t>运输应尽量避开办公生活区；危险废物转运采用专用的密闭容器，并做好</w:t>
            </w:r>
            <w:r>
              <w:rPr>
                <w:rFonts w:hint="default" w:ascii="Times New Roman" w:hAnsi="Times New Roman" w:eastAsia="宋体" w:cs="Times New Roman"/>
                <w:color w:val="auto"/>
                <w:kern w:val="0"/>
                <w:sz w:val="24"/>
                <w:lang w:eastAsia="zh-CN"/>
              </w:rPr>
              <w:t>站内</w:t>
            </w:r>
            <w:r>
              <w:rPr>
                <w:rFonts w:hint="default" w:ascii="Times New Roman" w:hAnsi="Times New Roman" w:eastAsia="宋体" w:cs="Times New Roman"/>
                <w:bCs/>
                <w:color w:val="auto"/>
                <w:sz w:val="24"/>
              </w:rPr>
              <w:t>转运记录表；危险废物内部转运结束后，应对运输路线进行检查和清理，确保无危险废物遗失在运输路线上。</w:t>
            </w:r>
          </w:p>
          <w:p>
            <w:pPr>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（5）环境影响分析</w:t>
            </w:r>
          </w:p>
          <w:p>
            <w:pPr>
              <w:spacing w:line="480" w:lineRule="exact"/>
              <w:ind w:firstLine="480" w:firstLineChars="200"/>
              <w:jc w:val="left"/>
              <w:rPr>
                <w:rFonts w:hint="default" w:ascii="Times New Roman" w:hAnsi="Times New Roman" w:eastAsia="宋体" w:cs="Times New Roman"/>
                <w:bCs/>
                <w:color w:val="auto"/>
                <w:sz w:val="24"/>
                <w:lang w:val="zh-CN"/>
              </w:rPr>
            </w:pPr>
            <w:r>
              <w:rPr>
                <w:rFonts w:hint="default" w:ascii="Times New Roman" w:hAnsi="Times New Roman" w:eastAsia="宋体" w:cs="Times New Roman"/>
                <w:bCs/>
                <w:color w:val="auto"/>
                <w:sz w:val="24"/>
              </w:rPr>
              <w:t>1）</w:t>
            </w:r>
            <w:r>
              <w:rPr>
                <w:rFonts w:hint="default" w:ascii="Times New Roman" w:hAnsi="Times New Roman" w:eastAsia="宋体" w:cs="Times New Roman"/>
                <w:bCs/>
                <w:color w:val="auto"/>
                <w:sz w:val="24"/>
                <w:lang w:val="zh-CN"/>
              </w:rPr>
              <w:t>危险废物贮存场所环境影响分析</w:t>
            </w:r>
          </w:p>
          <w:p>
            <w:pPr>
              <w:spacing w:line="480" w:lineRule="exact"/>
              <w:ind w:firstLine="480" w:firstLineChars="200"/>
              <w:jc w:val="left"/>
              <w:rPr>
                <w:rFonts w:hint="default" w:ascii="Times New Roman" w:hAnsi="Times New Roman" w:eastAsia="宋体" w:cs="Times New Roman"/>
                <w:bCs/>
                <w:snapToGrid w:val="0"/>
                <w:color w:val="auto"/>
                <w:kern w:val="0"/>
                <w:sz w:val="24"/>
              </w:rPr>
            </w:pPr>
            <w:r>
              <w:rPr>
                <w:rFonts w:hint="default" w:ascii="Times New Roman" w:hAnsi="Times New Roman" w:eastAsia="宋体" w:cs="Times New Roman"/>
                <w:bCs/>
                <w:snapToGrid w:val="0"/>
                <w:color w:val="auto"/>
                <w:kern w:val="0"/>
                <w:sz w:val="24"/>
              </w:rPr>
              <w:t>本项目危险废物采用密闭容器存放，贮存周期均为6个月，</w:t>
            </w:r>
            <w:r>
              <w:rPr>
                <w:rFonts w:hint="default" w:ascii="Times New Roman" w:hAnsi="Times New Roman" w:eastAsia="宋体" w:cs="Times New Roman"/>
                <w:color w:val="auto"/>
                <w:sz w:val="24"/>
              </w:rPr>
              <w:t>危废暂存间面积为</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bCs/>
                <w:snapToGrid w:val="0"/>
                <w:color w:val="auto"/>
                <w:kern w:val="0"/>
                <w:sz w:val="24"/>
              </w:rPr>
              <w:t>，满足项目危废贮存要求。</w:t>
            </w:r>
          </w:p>
          <w:p>
            <w:pPr>
              <w:spacing w:line="480" w:lineRule="exact"/>
              <w:ind w:firstLine="480" w:firstLineChars="200"/>
              <w:jc w:val="left"/>
              <w:rPr>
                <w:rFonts w:hint="default" w:ascii="Times New Roman" w:hAnsi="Times New Roman" w:eastAsia="宋体" w:cs="Times New Roman"/>
                <w:bCs/>
                <w:snapToGrid w:val="0"/>
                <w:color w:val="auto"/>
                <w:kern w:val="0"/>
                <w:sz w:val="24"/>
              </w:rPr>
            </w:pPr>
            <w:r>
              <w:rPr>
                <w:rFonts w:hint="default" w:ascii="Times New Roman" w:hAnsi="Times New Roman" w:eastAsia="宋体" w:cs="Times New Roman"/>
                <w:bCs/>
                <w:snapToGrid w:val="0"/>
                <w:color w:val="auto"/>
                <w:kern w:val="0"/>
                <w:sz w:val="24"/>
              </w:rPr>
              <w:t>危废暂存间要求地面与裙角采用坚固、防渗的材料建造，建筑材料必须与危险废物相容；危险废物采用密闭容器存放，贮存量较小，贮存过程中不会对大气、地表水、地下水及土壤造成影响。</w:t>
            </w:r>
          </w:p>
          <w:p>
            <w:pPr>
              <w:spacing w:line="480" w:lineRule="exact"/>
              <w:ind w:firstLine="480" w:firstLineChars="200"/>
              <w:jc w:val="left"/>
              <w:rPr>
                <w:rFonts w:hint="default" w:ascii="Times New Roman" w:hAnsi="Times New Roman" w:eastAsia="宋体" w:cs="Times New Roman"/>
                <w:bCs/>
                <w:snapToGrid w:val="0"/>
                <w:color w:val="auto"/>
                <w:kern w:val="0"/>
                <w:sz w:val="24"/>
              </w:rPr>
            </w:pPr>
            <w:r>
              <w:rPr>
                <w:rFonts w:hint="default" w:ascii="Times New Roman" w:hAnsi="Times New Roman" w:eastAsia="宋体" w:cs="Times New Roman"/>
                <w:bCs/>
                <w:snapToGrid w:val="0"/>
                <w:color w:val="auto"/>
                <w:kern w:val="0"/>
                <w:sz w:val="24"/>
              </w:rPr>
              <w:t>2）运输过程的环境影响分析</w:t>
            </w:r>
          </w:p>
          <w:p>
            <w:pPr>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本项目危险废物产生量较小，且采用密闭容器收集、运输、贮存，</w:t>
            </w:r>
            <w:r>
              <w:rPr>
                <w:rFonts w:hint="default" w:ascii="Times New Roman" w:hAnsi="Times New Roman" w:eastAsia="宋体" w:cs="Times New Roman"/>
                <w:color w:val="auto"/>
                <w:sz w:val="24"/>
              </w:rPr>
              <w:t>暂存于危废暂存间</w:t>
            </w:r>
            <w:r>
              <w:rPr>
                <w:rFonts w:hint="default" w:ascii="Times New Roman" w:hAnsi="Times New Roman" w:eastAsia="宋体" w:cs="Times New Roman"/>
                <w:bCs/>
                <w:color w:val="auto"/>
                <w:sz w:val="24"/>
              </w:rPr>
              <w:t>内，定期</w:t>
            </w:r>
            <w:r>
              <w:rPr>
                <w:rFonts w:hint="default" w:ascii="Times New Roman" w:hAnsi="Times New Roman" w:eastAsia="宋体" w:cs="Times New Roman"/>
                <w:color w:val="auto"/>
                <w:sz w:val="24"/>
              </w:rPr>
              <w:t>交由危废处置单位处理。运输途中产生散落、泄漏的情况较少，因此运输过程中对外环境产生的影响较小。</w:t>
            </w:r>
          </w:p>
          <w:p>
            <w:pPr>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3）危险废物委托处置影响分析</w:t>
            </w:r>
          </w:p>
          <w:p>
            <w:pPr>
              <w:spacing w:line="480" w:lineRule="exact"/>
              <w:ind w:firstLine="480" w:firstLineChars="200"/>
              <w:jc w:val="left"/>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危险废物暂未委托处置单位，根据《建设项目危险废物环境影响评价指南》，本项目危险废物应交给有资质的危险废物处置单位处置，签订处置合同，危险废物处置单位的经营范围应包括本项目的所有危险废物，同时处理能力应满足本项目危险废物产生情况。</w:t>
            </w:r>
          </w:p>
          <w:p>
            <w:pPr>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（6）环境管理要求</w:t>
            </w:r>
          </w:p>
          <w:p>
            <w:pPr>
              <w:spacing w:line="480" w:lineRule="exact"/>
              <w:ind w:firstLine="480" w:firstLineChars="200"/>
              <w:jc w:val="left"/>
              <w:textAlignment w:val="baseline"/>
              <w:rPr>
                <w:rFonts w:hint="default" w:ascii="Times New Roman" w:hAnsi="Times New Roman" w:eastAsia="宋体" w:cs="Times New Roman"/>
                <w:bCs/>
                <w:color w:val="auto"/>
                <w:sz w:val="24"/>
                <w:lang w:val="zh-CN"/>
              </w:rPr>
            </w:pPr>
            <w:r>
              <w:rPr>
                <w:rFonts w:hint="default" w:ascii="Times New Roman" w:hAnsi="Times New Roman" w:eastAsia="宋体" w:cs="Times New Roman"/>
                <w:bCs/>
                <w:color w:val="auto"/>
                <w:sz w:val="24"/>
                <w:lang w:val="zh-CN"/>
              </w:rPr>
              <w:t>危险废物环境管理应做到以下要求：</w:t>
            </w:r>
          </w:p>
          <w:p>
            <w:pPr>
              <w:spacing w:line="480" w:lineRule="exact"/>
              <w:ind w:firstLine="480" w:firstLineChars="200"/>
              <w:jc w:val="left"/>
              <w:textAlignment w:val="baseline"/>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lang w:val="zh-CN"/>
              </w:rPr>
              <w:t>建设单位应通过进行危险废物申报登记。将危险废物的实际产生、贮存、利用、处置等情况纳入生产记录，建立危险废物管理台账和企业内部产生和收集、贮存、转移等部门危险废物交接制度。</w:t>
            </w:r>
          </w:p>
          <w:p>
            <w:pPr>
              <w:spacing w:line="480" w:lineRule="exact"/>
              <w:ind w:firstLine="480" w:firstLineChars="200"/>
              <w:jc w:val="left"/>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2）</w:t>
            </w:r>
            <w:r>
              <w:rPr>
                <w:rFonts w:hint="default" w:ascii="Times New Roman" w:hAnsi="Times New Roman" w:eastAsia="宋体" w:cs="Times New Roman"/>
                <w:color w:val="auto"/>
                <w:sz w:val="24"/>
                <w:lang w:val="zh-CN"/>
              </w:rPr>
              <w:t>必须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pPr>
              <w:spacing w:line="480" w:lineRule="exact"/>
              <w:ind w:firstLine="480" w:firstLineChars="200"/>
              <w:jc w:val="left"/>
              <w:textAlignment w:val="baseline"/>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综上所述，采取上述措施后，本项目产生的固废经妥善处理、处置后，对周围环境影响很小。</w:t>
            </w:r>
          </w:p>
          <w:p>
            <w:pPr>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7.2.6土壤环境影响分析</w:t>
            </w:r>
          </w:p>
          <w:p>
            <w:pPr>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本次评价按照《环境影响评价技术导则  土壤环境（试行）》（HJ964-2018），对本项目工业场地内的土壤环境进行了现状调查与评价。在调查的基础上，进行了土壤环境的现状监测，并根据</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bCs/>
                <w:color w:val="auto"/>
                <w:sz w:val="24"/>
              </w:rPr>
              <w:t>实际提出了保护措施。</w:t>
            </w:r>
          </w:p>
          <w:p>
            <w:pPr>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按照《环境影响评价技术导则  土壤环境（试行）》（HJ964-2018）中附录A的“土壤环境影响评价项目类别”，本项目属于“电力热力燃气及水生产和供应业”中的“生活污水处理；燃煤锅炉总容量65t/h（不含）以上的热力生产工程；燃油锅炉总容量65t/h（不含）以上的热力生产工程”项目类别属于</w:t>
            </w: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 3 \* ROMAN </w:instrText>
            </w:r>
            <w:r>
              <w:rPr>
                <w:rFonts w:hint="default" w:ascii="Times New Roman" w:hAnsi="Times New Roman" w:eastAsia="宋体" w:cs="Times New Roman"/>
                <w:bCs/>
                <w:color w:val="auto"/>
                <w:sz w:val="24"/>
              </w:rPr>
              <w:fldChar w:fldCharType="separate"/>
            </w:r>
            <w:r>
              <w:rPr>
                <w:rFonts w:hint="default" w:ascii="Times New Roman" w:hAnsi="Times New Roman" w:eastAsia="宋体" w:cs="Times New Roman"/>
                <w:bCs/>
                <w:color w:val="auto"/>
                <w:sz w:val="24"/>
              </w:rPr>
              <w:t>III</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类；属于污染影响型，占地面积为</w:t>
            </w:r>
            <w:r>
              <w:rPr>
                <w:rFonts w:hint="default" w:ascii="Times New Roman" w:hAnsi="Times New Roman" w:eastAsia="宋体" w:cs="Times New Roman"/>
                <w:color w:val="auto"/>
                <w:sz w:val="24"/>
              </w:rPr>
              <w:t>3333</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，占地规模属于小型（≤5hm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）、建设项目周围有耕地，土壤环境敏感程度为敏感。根据污染影响型敏感程度分级表2-1与污染影响型评价等级划分表2-2，本项目土壤环境评价工作等级为三级。因此，本项目需开展土壤环境影响评价。</w:t>
            </w:r>
          </w:p>
          <w:p>
            <w:pPr>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具体详见土壤环境影响专题评价。</w:t>
            </w:r>
          </w:p>
          <w:p>
            <w:pPr>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7.2.7生态环境影响分析</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占地类型为耕地。由大气和噪声的环境影响分析表明，本项目实施后，不会对厂周围的环境造成大的影响，其处理后的水排至滹沱河，将改善现状，对局部地区景观和生态环境的改善远大于其对生态环境造成的破坏，是有利于当地发展的建设项目。</w:t>
            </w:r>
          </w:p>
          <w:p>
            <w:pPr>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7.2.8环境风险分析</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（1）环境风险等级</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根据《建设项目环境风险评价技术导则》（HJ169-2018）中规定，环境风险评价工作等级划分原则见表7-</w:t>
            </w:r>
            <w:r>
              <w:rPr>
                <w:rFonts w:hint="default"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p>
          <w:p>
            <w:pPr>
              <w:keepNext w:val="0"/>
              <w:keepLines w:val="0"/>
              <w:pageBreakBefore w:val="0"/>
              <w:widowControl w:val="0"/>
              <w:kinsoku/>
              <w:wordWrap/>
              <w:overflowPunct/>
              <w:topLinePunct w:val="0"/>
              <w:autoSpaceDE w:val="0"/>
              <w:autoSpaceDN w:val="0"/>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表7-</w:t>
            </w:r>
            <w:r>
              <w:rPr>
                <w:rFonts w:hint="default" w:ascii="Times New Roman" w:hAnsi="Times New Roman" w:eastAsia="宋体" w:cs="Times New Roman"/>
                <w:b/>
                <w:bCs/>
                <w:color w:val="auto"/>
                <w:sz w:val="24"/>
                <w:lang w:val="en-US" w:eastAsia="zh-CN"/>
              </w:rPr>
              <w:t>23</w:t>
            </w:r>
            <w:r>
              <w:rPr>
                <w:rFonts w:hint="default" w:ascii="Times New Roman" w:hAnsi="Times New Roman" w:eastAsia="宋体" w:cs="Times New Roman"/>
                <w:b/>
                <w:bCs/>
                <w:color w:val="auto"/>
                <w:sz w:val="24"/>
              </w:rPr>
              <w:t xml:space="preserve">  环境风险评价工作级别判定表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5"/>
              <w:gridCol w:w="2030"/>
              <w:gridCol w:w="2283"/>
              <w:gridCol w:w="1524"/>
              <w:gridCol w:w="15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1" w:type="pc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环境风险潜势</w:t>
                  </w:r>
                </w:p>
              </w:tc>
              <w:tc>
                <w:tcPr>
                  <w:tcW w:w="1111"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Ⅳ、</w:t>
                  </w:r>
                  <w:r>
                    <w:rPr>
                      <w:rFonts w:hint="default" w:ascii="Times New Roman" w:hAnsi="Times New Roman" w:eastAsia="宋体" w:cs="Times New Roman"/>
                      <w:color w:val="auto"/>
                      <w:kern w:val="0"/>
                      <w:szCs w:val="21"/>
                      <w:shd w:val="clear" w:color="auto" w:fill="FFFFFF"/>
                    </w:rPr>
                    <w:t>Ⅳ</w:t>
                  </w:r>
                  <w:r>
                    <w:rPr>
                      <w:rFonts w:hint="default" w:ascii="Times New Roman" w:hAnsi="Times New Roman" w:eastAsia="宋体" w:cs="Times New Roman"/>
                      <w:color w:val="auto"/>
                      <w:kern w:val="0"/>
                      <w:szCs w:val="21"/>
                      <w:shd w:val="clear" w:color="auto" w:fill="FFFFFF"/>
                      <w:vertAlign w:val="superscript"/>
                    </w:rPr>
                    <w:t>+</w:t>
                  </w:r>
                </w:p>
              </w:tc>
              <w:tc>
                <w:tcPr>
                  <w:tcW w:w="1249"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Ⅲ</w:t>
                  </w:r>
                </w:p>
              </w:tc>
              <w:tc>
                <w:tcPr>
                  <w:tcW w:w="834"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Ⅱ</w:t>
                  </w:r>
                </w:p>
              </w:tc>
              <w:tc>
                <w:tcPr>
                  <w:tcW w:w="834"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1"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评价工作等级</w:t>
                  </w:r>
                </w:p>
              </w:tc>
              <w:tc>
                <w:tcPr>
                  <w:tcW w:w="1111"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w:t>
                  </w:r>
                </w:p>
              </w:tc>
              <w:tc>
                <w:tcPr>
                  <w:tcW w:w="1249"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二</w:t>
                  </w:r>
                </w:p>
              </w:tc>
              <w:tc>
                <w:tcPr>
                  <w:tcW w:w="834"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三</w:t>
                  </w:r>
                </w:p>
              </w:tc>
              <w:tc>
                <w:tcPr>
                  <w:tcW w:w="834" w:type="pct"/>
                  <w:tcBorders>
                    <w:tl2br w:val="nil"/>
                    <w:tr2bl w:val="nil"/>
                  </w:tcBorders>
                  <w:vAlign w:val="center"/>
                </w:tcPr>
                <w:p>
                  <w:pPr>
                    <w:widowControl/>
                    <w:jc w:val="center"/>
                    <w:textAlignment w:val="baseline"/>
                    <w:rPr>
                      <w:rFonts w:hint="default" w:ascii="Times New Roman" w:hAnsi="Times New Roman" w:eastAsia="宋体" w:cs="Times New Roman"/>
                      <w:color w:val="auto"/>
                      <w:kern w:val="0"/>
                      <w:szCs w:val="21"/>
                      <w:vertAlign w:val="superscript"/>
                    </w:rPr>
                  </w:pPr>
                  <w:r>
                    <w:rPr>
                      <w:rFonts w:hint="default" w:ascii="Times New Roman" w:hAnsi="Times New Roman" w:eastAsia="宋体" w:cs="Times New Roman"/>
                      <w:color w:val="auto"/>
                      <w:kern w:val="0"/>
                      <w:szCs w:val="21"/>
                    </w:rPr>
                    <w:t>简单分析</w:t>
                  </w:r>
                  <w:r>
                    <w:rPr>
                      <w:rFonts w:hint="default" w:ascii="Times New Roman" w:hAnsi="Times New Roman" w:eastAsia="宋体" w:cs="Times New Roman"/>
                      <w:color w:val="auto"/>
                      <w:kern w:val="0"/>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000" w:type="pct"/>
                  <w:gridSpan w:val="5"/>
                  <w:tcBorders>
                    <w:tl2br w:val="nil"/>
                    <w:tr2bl w:val="nil"/>
                  </w:tcBorders>
                  <w:vAlign w:val="center"/>
                </w:tcPr>
                <w:p>
                  <w:pPr>
                    <w:widowControl/>
                    <w:jc w:val="left"/>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a: 是相对于详细评价工作内容而言，在描述危险物质、环境影响途径、环境危害后果、风险防范措施等方面给出定性的说明。</w:t>
                  </w:r>
                </w:p>
              </w:tc>
            </w:tr>
          </w:tbl>
          <w:p>
            <w:pPr>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本项目环境风险潜势判断：</w:t>
            </w:r>
          </w:p>
          <w:p>
            <w:pPr>
              <w:spacing w:line="480" w:lineRule="exact"/>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本项目涉及的环境风险物质为</w:t>
            </w:r>
            <w:r>
              <w:rPr>
                <w:rFonts w:hint="default" w:ascii="Times New Roman" w:hAnsi="Times New Roman" w:eastAsia="宋体" w:cs="Times New Roman"/>
                <w:bCs/>
                <w:color w:val="auto"/>
                <w:sz w:val="24"/>
                <w:lang w:eastAsia="zh-CN"/>
              </w:rPr>
              <w:t>消毒使用的液态</w:t>
            </w:r>
            <w:r>
              <w:rPr>
                <w:rFonts w:hint="default" w:ascii="Times New Roman" w:hAnsi="Times New Roman" w:eastAsia="宋体" w:cs="Times New Roman"/>
                <w:bCs/>
                <w:color w:val="auto"/>
                <w:sz w:val="24"/>
              </w:rPr>
              <w:t>次氯酸钠，项目</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bCs/>
                <w:color w:val="auto"/>
                <w:sz w:val="24"/>
              </w:rPr>
              <w:t>次氯酸钠最大存放量为</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t，</w:t>
            </w:r>
            <w:r>
              <w:rPr>
                <w:rFonts w:hint="default" w:ascii="Times New Roman" w:hAnsi="Times New Roman" w:eastAsia="宋体" w:cs="Times New Roman"/>
                <w:color w:val="auto"/>
                <w:sz w:val="24"/>
              </w:rPr>
              <w:t>根据《建设项目环境风险评价技术导则》（HJ169-2018）附录B（表 B.1 突发环境事件风险物质及临界量）查得第85项，临界量为5t。</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根据《建设项目环境风险评价技术导则》（HJ169-2018）附录C（危险物质及工艺系统危险性（P）的分级），本项目危险物质数量与临界量比值（Q）计算如下：</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anchor distT="0" distB="0" distL="114300" distR="114300" simplePos="0" relativeHeight="251660288" behindDoc="0" locked="0" layoutInCell="1" allowOverlap="1">
                  <wp:simplePos x="0" y="0"/>
                  <wp:positionH relativeFrom="column">
                    <wp:posOffset>136525</wp:posOffset>
                  </wp:positionH>
                  <wp:positionV relativeFrom="paragraph">
                    <wp:posOffset>147320</wp:posOffset>
                  </wp:positionV>
                  <wp:extent cx="5285105" cy="1637665"/>
                  <wp:effectExtent l="0" t="0" r="10795" b="635"/>
                  <wp:wrapNone/>
                  <wp:docPr id="2155" name="图片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图片 215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285105" cy="1637665"/>
                          </a:xfrm>
                          <a:prstGeom prst="rect">
                            <a:avLst/>
                          </a:prstGeom>
                        </pic:spPr>
                      </pic:pic>
                    </a:graphicData>
                  </a:graphic>
                </wp:anchor>
              </w:drawing>
            </w:r>
          </w:p>
          <w:p>
            <w:pPr>
              <w:spacing w:line="480" w:lineRule="exact"/>
              <w:ind w:firstLine="480" w:firstLineChars="200"/>
              <w:jc w:val="left"/>
              <w:rPr>
                <w:rFonts w:hint="default" w:ascii="Times New Roman" w:hAnsi="Times New Roman" w:eastAsia="宋体" w:cs="Times New Roman"/>
                <w:color w:val="auto"/>
                <w:sz w:val="24"/>
              </w:rPr>
            </w:pPr>
          </w:p>
          <w:p>
            <w:pPr>
              <w:spacing w:line="480" w:lineRule="exact"/>
              <w:ind w:firstLine="480" w:firstLineChars="200"/>
              <w:jc w:val="left"/>
              <w:rPr>
                <w:rFonts w:hint="default" w:ascii="Times New Roman" w:hAnsi="Times New Roman" w:eastAsia="宋体" w:cs="Times New Roman"/>
                <w:color w:val="auto"/>
                <w:sz w:val="24"/>
              </w:rPr>
            </w:pPr>
          </w:p>
          <w:p>
            <w:pPr>
              <w:spacing w:line="480" w:lineRule="exact"/>
              <w:ind w:firstLine="480" w:firstLineChars="200"/>
              <w:jc w:val="left"/>
              <w:rPr>
                <w:rFonts w:hint="default" w:ascii="Times New Roman" w:hAnsi="Times New Roman" w:eastAsia="宋体" w:cs="Times New Roman"/>
                <w:color w:val="auto"/>
                <w:sz w:val="24"/>
              </w:rPr>
            </w:pPr>
          </w:p>
          <w:p>
            <w:pPr>
              <w:spacing w:line="480" w:lineRule="exact"/>
              <w:ind w:firstLine="480" w:firstLineChars="200"/>
              <w:jc w:val="left"/>
              <w:rPr>
                <w:rFonts w:hint="default" w:ascii="Times New Roman" w:hAnsi="Times New Roman" w:eastAsia="宋体" w:cs="Times New Roman"/>
                <w:color w:val="auto"/>
                <w:sz w:val="24"/>
              </w:rPr>
            </w:pPr>
          </w:p>
          <w:p>
            <w:pPr>
              <w:spacing w:line="480" w:lineRule="exact"/>
              <w:ind w:firstLine="480" w:firstLineChars="200"/>
              <w:jc w:val="left"/>
              <w:rPr>
                <w:rFonts w:hint="default" w:ascii="Times New Roman" w:hAnsi="Times New Roman" w:eastAsia="宋体" w:cs="Times New Roman"/>
                <w:color w:val="auto"/>
                <w:sz w:val="24"/>
              </w:rPr>
            </w:pP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经计算，本项目0.132&lt;1。</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 Q＜1 时，该项目环境风险潜势为Ⅰ。</w:t>
            </w:r>
            <w:r>
              <w:rPr>
                <w:rFonts w:hint="default" w:ascii="Times New Roman" w:hAnsi="Times New Roman" w:eastAsia="宋体" w:cs="Times New Roman"/>
                <w:bCs/>
                <w:color w:val="auto"/>
                <w:sz w:val="24"/>
              </w:rPr>
              <w:t>综上，本项目</w:t>
            </w:r>
            <w:r>
              <w:rPr>
                <w:rFonts w:hint="default" w:ascii="Times New Roman" w:hAnsi="Times New Roman" w:eastAsia="宋体" w:cs="Times New Roman"/>
                <w:color w:val="auto"/>
                <w:sz w:val="24"/>
              </w:rPr>
              <w:t>环境风险潜势为Ⅰ，只需做简单分析。</w:t>
            </w:r>
          </w:p>
          <w:p>
            <w:pPr>
              <w:adjustRightInd w:val="0"/>
              <w:snapToGrid w:val="0"/>
              <w:spacing w:line="480" w:lineRule="exact"/>
              <w:ind w:firstLine="480"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sz w:val="24"/>
              </w:rPr>
              <w:t>具体详见环境风险专题评价。</w:t>
            </w:r>
          </w:p>
          <w:p>
            <w:pPr>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7.2.9环境管理及监测计划</w:t>
            </w:r>
          </w:p>
          <w:p>
            <w:pPr>
              <w:tabs>
                <w:tab w:val="left" w:pos="4680"/>
              </w:tabs>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（1）环境管理要求</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环境管理</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管理是环境保护工作的重要内容之一，也是企业管理的重要组成部分，它利用行政、经济、技术、法律、教育等手段，对企业生产、经营发展、环境保护的关系进行协调，将其列入企业的议事日程，制定合理的污染治理方案，以达到既发展生产、增加经济效益，又保护环境的目的。</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机构设置</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根据企业的实际情况，企业应调配1名环保管理人员。负责该厂的环境管理工作，要及时提出存在的主要环境问题及有关建议，针对实际情况建立相应的环保规章制度，有效地落实环保措施，其主要职能应包括：</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a严格执行各项生产及环境管理制度，保证生产的正常进行；</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b设立环保设施运行卡，对环保设施定期进行检查、维护，做到勤查、勤记、勤养护，按照监测计划定期组织进行全</w:t>
            </w:r>
            <w:r>
              <w:rPr>
                <w:rFonts w:hint="default" w:ascii="Times New Roman" w:hAnsi="Times New Roman" w:eastAsia="宋体" w:cs="Times New Roman"/>
                <w:color w:val="auto"/>
                <w:kern w:val="0"/>
                <w:sz w:val="24"/>
                <w:lang w:eastAsia="zh-CN"/>
              </w:rPr>
              <w:t>站内</w:t>
            </w:r>
            <w:r>
              <w:rPr>
                <w:rFonts w:hint="default" w:ascii="Times New Roman" w:hAnsi="Times New Roman" w:eastAsia="宋体" w:cs="Times New Roman"/>
                <w:color w:val="auto"/>
                <w:sz w:val="24"/>
              </w:rPr>
              <w:t>的污染源监测，对不达标环保设施立即进行寻找原因，及时处理；</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c不断加强技术培训，组织企业内部之间的技术交流，提高业务水平，保持企业内部职工素质稳定；</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d重视群众监督作用，提高企业职工环境意识，鼓励职工及外部人员对生产状况提出意见，并通过积极吸收宝贵意见，提高企业环境管理水平。</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e积极配合环保部门的检查、验收。</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环境管理制度制定</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制定相应的环境保护制度。如：“三废综合利用方法”、“颗粒物排放及管理规定”、“排污申报管理制度”、“环境保护奖惩条例”等，并建立环保设施的技术档案，使环境管理工作有法可依，有章可循，并逐步纳入法制化、标准化轨道。根据工程污染特征，本项目不设环境监测站，环境监测计划由环保专项人员负责实施，定期委托有资质的环境监测站进行监测，环保专项人员将监测结果统计和上报。</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④污染物排放管理</w:t>
            </w:r>
          </w:p>
          <w:p>
            <w:pPr>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根据《建设项目环境影响评价技术导则 总纲》（HJ2.1-2016）的有关规定，环境管理要求给出污染物排放清单，包括工程组成及原辅材料组分要求，建设项目拟采取的环境保护措施及主要运行参数，排放的污染物种类、排放浓度和总量指标，污染物排放的分时段要求，排污口信息，执行的环境标准，环境风险防范措施以及环境监测等。以上信息内容将对社会公众公开，污染物排放清单及管理要求见表7-2</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kern w:val="0"/>
                <w:sz w:val="24"/>
              </w:rPr>
              <w:t>。</w:t>
            </w:r>
          </w:p>
          <w:p>
            <w:pPr>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（3）排污口规范化设置</w:t>
            </w:r>
          </w:p>
          <w:p>
            <w:pPr>
              <w:adjustRightIn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①排污口设置原则</w:t>
            </w:r>
          </w:p>
          <w:p>
            <w:pPr>
              <w:adjustRightIn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关于开展排放口规范化整治工作的通知》国家环境保护总局环发[1999]24号、《排放口规范化整治技术》国家环境保护总局环发[1999]24号文件的要求，一切新建、扩建、改建的排污单位以及限期治理的排污单位，必须在建设污染治理设施的同时，建设规范化排污口。因此，投产时，各类排污口必须规范化建设和管理，而且规范化工作应于污染治理同步实施，即治理设施完工时，规范化工作必须规同时完成，并列入污染物治理设施的验收内容。在项目设计和建设过程中，必须按有关要求设置排污口。</w:t>
            </w:r>
          </w:p>
          <w:p>
            <w:pPr>
              <w:adjustRightIn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②排污口图形标志</w:t>
            </w:r>
          </w:p>
          <w:p>
            <w:pPr>
              <w:adjustRightIn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各类排污口应进行相应的规范，包括：在</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“三废”及噪声排放点，设置明显标志，标志的设置应执行《环境保护图形标志排放口》（GB15562.1-1995）中有关规定，各图形标志见下图。</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6"/>
              <w:gridCol w:w="1586"/>
              <w:gridCol w:w="1586"/>
              <w:gridCol w:w="1586"/>
              <w:gridCol w:w="1586"/>
              <w:gridCol w:w="15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6" w:type="dxa"/>
                  <w:tcBorders>
                    <w:tl2br w:val="nil"/>
                    <w:tr2bl w:val="nil"/>
                  </w:tcBorders>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w:t>
                  </w:r>
                </w:p>
              </w:tc>
              <w:tc>
                <w:tcPr>
                  <w:tcW w:w="1586" w:type="dxa"/>
                  <w:tcBorders>
                    <w:tl2br w:val="nil"/>
                    <w:tr2bl w:val="nil"/>
                  </w:tcBorders>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废水</w:t>
                  </w:r>
                </w:p>
              </w:tc>
              <w:tc>
                <w:tcPr>
                  <w:tcW w:w="1586" w:type="dxa"/>
                  <w:tcBorders>
                    <w:tl2br w:val="nil"/>
                    <w:tr2bl w:val="nil"/>
                  </w:tcBorders>
                  <w:vAlign w:val="center"/>
                </w:tcPr>
                <w:p>
                  <w:pPr>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废气</w:t>
                  </w:r>
                </w:p>
              </w:tc>
              <w:tc>
                <w:tcPr>
                  <w:tcW w:w="1586" w:type="dxa"/>
                  <w:tcBorders>
                    <w:tl2br w:val="nil"/>
                    <w:tr2bl w:val="nil"/>
                  </w:tcBorders>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噪声源</w:t>
                  </w:r>
                </w:p>
              </w:tc>
              <w:tc>
                <w:tcPr>
                  <w:tcW w:w="1586" w:type="dxa"/>
                  <w:tcBorders>
                    <w:tl2br w:val="nil"/>
                    <w:tr2bl w:val="nil"/>
                  </w:tcBorders>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一般固体废物</w:t>
                  </w:r>
                </w:p>
              </w:tc>
              <w:tc>
                <w:tcPr>
                  <w:tcW w:w="1588" w:type="dxa"/>
                  <w:tcBorders>
                    <w:tl2br w:val="nil"/>
                    <w:tr2bl w:val="nil"/>
                  </w:tcBorders>
                  <w:vAlign w:val="center"/>
                </w:tcPr>
                <w:p>
                  <w:pPr>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危险废物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6" w:type="dxa"/>
                  <w:tcBorders>
                    <w:tl2br w:val="nil"/>
                    <w:tr2bl w:val="nil"/>
                  </w:tcBorders>
                  <w:vAlign w:val="center"/>
                </w:tcPr>
                <w:p>
                  <w:pPr>
                    <w:spacing w:line="5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图形符号</w:t>
                  </w:r>
                </w:p>
              </w:tc>
              <w:tc>
                <w:tcPr>
                  <w:tcW w:w="1586" w:type="dxa"/>
                  <w:tcBorders>
                    <w:tl2br w:val="nil"/>
                    <w:tr2bl w:val="nil"/>
                  </w:tcBorders>
                  <w:vAlign w:val="center"/>
                </w:tcPr>
                <w:p>
                  <w:pPr>
                    <w:spacing w:line="5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drawing>
                      <wp:anchor distT="0" distB="0" distL="114300" distR="114300" simplePos="0" relativeHeight="251662336" behindDoc="0" locked="0" layoutInCell="1" allowOverlap="1">
                        <wp:simplePos x="0" y="0"/>
                        <wp:positionH relativeFrom="column">
                          <wp:posOffset>50800</wp:posOffset>
                        </wp:positionH>
                        <wp:positionV relativeFrom="paragraph">
                          <wp:posOffset>46355</wp:posOffset>
                        </wp:positionV>
                        <wp:extent cx="681355" cy="560705"/>
                        <wp:effectExtent l="0" t="0" r="4445" b="10795"/>
                        <wp:wrapNone/>
                        <wp:docPr id="1" name="图片 1" descr="新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图片(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81355" cy="560705"/>
                                </a:xfrm>
                                <a:prstGeom prst="rect">
                                  <a:avLst/>
                                </a:prstGeom>
                                <a:noFill/>
                                <a:ln>
                                  <a:noFill/>
                                </a:ln>
                              </pic:spPr>
                            </pic:pic>
                          </a:graphicData>
                        </a:graphic>
                      </wp:anchor>
                    </w:drawing>
                  </w:r>
                </w:p>
                <w:p>
                  <w:pPr>
                    <w:spacing w:line="500" w:lineRule="exact"/>
                    <w:jc w:val="center"/>
                    <w:rPr>
                      <w:rFonts w:hint="default" w:ascii="Times New Roman" w:hAnsi="Times New Roman" w:eastAsia="宋体" w:cs="Times New Roman"/>
                      <w:bCs/>
                      <w:color w:val="auto"/>
                      <w:szCs w:val="21"/>
                    </w:rPr>
                  </w:pPr>
                </w:p>
              </w:tc>
              <w:tc>
                <w:tcPr>
                  <w:tcW w:w="1586" w:type="dxa"/>
                  <w:tcBorders>
                    <w:tl2br w:val="nil"/>
                    <w:tr2bl w:val="nil"/>
                  </w:tcBorders>
                  <w:vAlign w:val="center"/>
                </w:tcPr>
                <w:p>
                  <w:pPr>
                    <w:spacing w:line="5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22225</wp:posOffset>
                        </wp:positionV>
                        <wp:extent cx="580390" cy="584835"/>
                        <wp:effectExtent l="0" t="0" r="10160" b="571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5"/>
                                <a:stretch>
                                  <a:fillRect/>
                                </a:stretch>
                              </pic:blipFill>
                              <pic:spPr>
                                <a:xfrm>
                                  <a:off x="0" y="0"/>
                                  <a:ext cx="580390" cy="584835"/>
                                </a:xfrm>
                                <a:prstGeom prst="rect">
                                  <a:avLst/>
                                </a:prstGeom>
                                <a:noFill/>
                                <a:ln>
                                  <a:noFill/>
                                </a:ln>
                              </pic:spPr>
                            </pic:pic>
                          </a:graphicData>
                        </a:graphic>
                      </wp:anchor>
                    </w:drawing>
                  </w:r>
                </w:p>
              </w:tc>
              <w:tc>
                <w:tcPr>
                  <w:tcW w:w="1586" w:type="dxa"/>
                  <w:tcBorders>
                    <w:tl2br w:val="nil"/>
                    <w:tr2bl w:val="nil"/>
                  </w:tcBorders>
                  <w:vAlign w:val="center"/>
                </w:tcPr>
                <w:p>
                  <w:pPr>
                    <w:spacing w:line="5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drawing>
                      <wp:anchor distT="0" distB="0" distL="114300" distR="114300" simplePos="0" relativeHeight="251662336" behindDoc="0" locked="0" layoutInCell="1" allowOverlap="1">
                        <wp:simplePos x="0" y="0"/>
                        <wp:positionH relativeFrom="column">
                          <wp:posOffset>84455</wp:posOffset>
                        </wp:positionH>
                        <wp:positionV relativeFrom="paragraph">
                          <wp:posOffset>6350</wp:posOffset>
                        </wp:positionV>
                        <wp:extent cx="621030" cy="621030"/>
                        <wp:effectExtent l="0" t="0" r="7620" b="7620"/>
                        <wp:wrapNone/>
                        <wp:docPr id="27" name="图片 27" descr="噪声排放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噪声排放源"/>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1030" cy="621030"/>
                                </a:xfrm>
                                <a:prstGeom prst="rect">
                                  <a:avLst/>
                                </a:prstGeom>
                                <a:noFill/>
                                <a:ln>
                                  <a:noFill/>
                                </a:ln>
                              </pic:spPr>
                            </pic:pic>
                          </a:graphicData>
                        </a:graphic>
                      </wp:anchor>
                    </w:drawing>
                  </w:r>
                </w:p>
                <w:p>
                  <w:pPr>
                    <w:spacing w:line="500" w:lineRule="exact"/>
                    <w:jc w:val="center"/>
                    <w:rPr>
                      <w:rFonts w:hint="default" w:ascii="Times New Roman" w:hAnsi="Times New Roman" w:eastAsia="宋体" w:cs="Times New Roman"/>
                      <w:bCs/>
                      <w:color w:val="auto"/>
                      <w:szCs w:val="21"/>
                    </w:rPr>
                  </w:pPr>
                </w:p>
              </w:tc>
              <w:tc>
                <w:tcPr>
                  <w:tcW w:w="1586" w:type="dxa"/>
                  <w:tcBorders>
                    <w:tl2br w:val="nil"/>
                    <w:tr2bl w:val="nil"/>
                  </w:tcBorders>
                  <w:vAlign w:val="center"/>
                </w:tcPr>
                <w:p>
                  <w:pPr>
                    <w:spacing w:line="5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drawing>
                      <wp:anchor distT="0" distB="0" distL="114300" distR="114300" simplePos="0" relativeHeight="251661312" behindDoc="0" locked="0" layoutInCell="1" allowOverlap="1">
                        <wp:simplePos x="0" y="0"/>
                        <wp:positionH relativeFrom="column">
                          <wp:posOffset>140970</wp:posOffset>
                        </wp:positionH>
                        <wp:positionV relativeFrom="paragraph">
                          <wp:posOffset>31750</wp:posOffset>
                        </wp:positionV>
                        <wp:extent cx="689610" cy="603250"/>
                        <wp:effectExtent l="0" t="0" r="15240" b="6350"/>
                        <wp:wrapNone/>
                        <wp:docPr id="28" name="图片 28" descr="一般固体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一般固体废物"/>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89610" cy="603250"/>
                                </a:xfrm>
                                <a:prstGeom prst="rect">
                                  <a:avLst/>
                                </a:prstGeom>
                                <a:noFill/>
                                <a:ln>
                                  <a:noFill/>
                                </a:ln>
                              </pic:spPr>
                            </pic:pic>
                          </a:graphicData>
                        </a:graphic>
                      </wp:anchor>
                    </w:drawing>
                  </w:r>
                </w:p>
              </w:tc>
              <w:tc>
                <w:tcPr>
                  <w:tcW w:w="1588" w:type="dxa"/>
                  <w:tcBorders>
                    <w:tl2br w:val="nil"/>
                    <w:tr2bl w:val="nil"/>
                  </w:tcBorders>
                  <w:vAlign w:val="center"/>
                </w:tcPr>
                <w:p>
                  <w:pPr>
                    <w:spacing w:line="5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anchor distT="0" distB="0" distL="114300" distR="114300" simplePos="0" relativeHeight="251663360" behindDoc="1" locked="0" layoutInCell="1" allowOverlap="1">
                        <wp:simplePos x="0" y="0"/>
                        <wp:positionH relativeFrom="column">
                          <wp:posOffset>57150</wp:posOffset>
                        </wp:positionH>
                        <wp:positionV relativeFrom="paragraph">
                          <wp:posOffset>-2540</wp:posOffset>
                        </wp:positionV>
                        <wp:extent cx="681355" cy="600075"/>
                        <wp:effectExtent l="0" t="0" r="4445" b="952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58"/>
                                <a:stretch>
                                  <a:fillRect/>
                                </a:stretch>
                              </pic:blipFill>
                              <pic:spPr>
                                <a:xfrm>
                                  <a:off x="0" y="0"/>
                                  <a:ext cx="681355" cy="600075"/>
                                </a:xfrm>
                                <a:prstGeom prst="rect">
                                  <a:avLst/>
                                </a:prstGeom>
                                <a:noFill/>
                                <a:ln>
                                  <a:noFill/>
                                </a:ln>
                              </pic:spPr>
                            </pic:pic>
                          </a:graphicData>
                        </a:graphic>
                      </wp:anchor>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6"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背景颜色</w:t>
                  </w:r>
                </w:p>
              </w:tc>
              <w:tc>
                <w:tcPr>
                  <w:tcW w:w="6344"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绿色</w:t>
                  </w:r>
                </w:p>
              </w:tc>
              <w:tc>
                <w:tcPr>
                  <w:tcW w:w="1588" w:type="dxa"/>
                  <w:tcBorders>
                    <w:tl2br w:val="nil"/>
                    <w:tr2bl w:val="nil"/>
                  </w:tcBorders>
                  <w:vAlign w:val="center"/>
                </w:tcPr>
                <w:p>
                  <w:pPr>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黄色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6" w:type="dxa"/>
                  <w:tcBorders>
                    <w:tl2br w:val="nil"/>
                    <w:tr2bl w:val="nil"/>
                  </w:tcBorders>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图形颜色</w:t>
                  </w:r>
                </w:p>
              </w:tc>
              <w:tc>
                <w:tcPr>
                  <w:tcW w:w="6344"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Cs w:val="21"/>
                    </w:rPr>
                    <w:t>白色</w:t>
                  </w:r>
                </w:p>
              </w:tc>
              <w:tc>
                <w:tcPr>
                  <w:tcW w:w="1588" w:type="dxa"/>
                  <w:tcBorders>
                    <w:tl2br w:val="nil"/>
                    <w:tr2bl w:val="nil"/>
                  </w:tcBorders>
                  <w:vAlign w:val="center"/>
                </w:tcPr>
                <w:p>
                  <w:pPr>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黑色白色</w:t>
                  </w:r>
                </w:p>
              </w:tc>
            </w:tr>
          </w:tbl>
          <w:p>
            <w:pPr>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（2）环境监测措施</w:t>
            </w:r>
          </w:p>
          <w:p>
            <w:pPr>
              <w:autoSpaceDE w:val="0"/>
              <w:autoSpaceDN w:val="0"/>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根据企业实际情况，本项目不设环境监测机构，环境监测可委托当地环境监测站进行定期监测。根据</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eastAsia="zh-CN"/>
              </w:rPr>
              <w:t>排污许可证申请与核发技术规范</w:t>
            </w:r>
            <w:r>
              <w:rPr>
                <w:rFonts w:hint="default" w:ascii="Times New Roman" w:hAnsi="Times New Roman" w:eastAsia="宋体" w:cs="Times New Roman"/>
                <w:bCs/>
                <w:color w:val="auto"/>
                <w:sz w:val="24"/>
                <w:lang w:val="en-US" w:eastAsia="zh-CN"/>
              </w:rPr>
              <w:t xml:space="preserve"> 水处理（试行）</w:t>
            </w:r>
            <w:r>
              <w:rPr>
                <w:rFonts w:hint="default" w:ascii="Times New Roman" w:hAnsi="Times New Roman" w:eastAsia="宋体" w:cs="Times New Roman"/>
                <w:bCs/>
                <w:color w:val="auto"/>
                <w:sz w:val="24"/>
              </w:rPr>
              <w:t>》（HJ</w:t>
            </w:r>
            <w:r>
              <w:rPr>
                <w:rFonts w:hint="default" w:ascii="Times New Roman" w:hAnsi="Times New Roman" w:eastAsia="宋体" w:cs="Times New Roman"/>
                <w:bCs/>
                <w:color w:val="auto"/>
                <w:sz w:val="24"/>
                <w:lang w:val="en-US" w:eastAsia="zh-CN"/>
              </w:rPr>
              <w:t>978</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2018</w:t>
            </w:r>
            <w:r>
              <w:rPr>
                <w:rFonts w:hint="default" w:ascii="Times New Roman" w:hAnsi="Times New Roman" w:eastAsia="宋体" w:cs="Times New Roman"/>
                <w:bCs/>
                <w:color w:val="auto"/>
                <w:sz w:val="24"/>
              </w:rPr>
              <w:t>）要求，企业自行监测方案</w:t>
            </w:r>
            <w:r>
              <w:rPr>
                <w:rFonts w:hint="default" w:ascii="Times New Roman" w:hAnsi="Times New Roman" w:eastAsia="宋体" w:cs="Times New Roman"/>
                <w:color w:val="auto"/>
                <w:sz w:val="24"/>
              </w:rPr>
              <w:t>见下表。</w:t>
            </w: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表7-2</w:t>
            </w: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 xml:space="preserve">  污染源监测计划</w:t>
            </w:r>
          </w:p>
          <w:tbl>
            <w:tblPr>
              <w:tblStyle w:val="7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500"/>
              <w:gridCol w:w="3060"/>
              <w:gridCol w:w="1710"/>
              <w:gridCol w:w="1065"/>
              <w:gridCol w:w="11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820"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674"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935"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582"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实施机构</w:t>
                  </w:r>
                </w:p>
              </w:tc>
              <w:tc>
                <w:tcPr>
                  <w:tcW w:w="616"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监督机构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restar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2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除臭装置排气筒</w:t>
                  </w:r>
                </w:p>
              </w:tc>
              <w:tc>
                <w:tcPr>
                  <w:tcW w:w="1674"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氨气、硫化氢、臭气浓度</w:t>
                  </w:r>
                </w:p>
              </w:tc>
              <w:tc>
                <w:tcPr>
                  <w:tcW w:w="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半年</w:t>
                  </w:r>
                  <w:r>
                    <w:rPr>
                      <w:rFonts w:hint="default" w:ascii="Times New Roman" w:hAnsi="Times New Roman" w:eastAsia="宋体" w:cs="Times New Roman"/>
                      <w:color w:val="auto"/>
                      <w:sz w:val="21"/>
                      <w:szCs w:val="21"/>
                    </w:rPr>
                    <w:t>监测一次</w:t>
                  </w:r>
                </w:p>
              </w:tc>
              <w:tc>
                <w:tcPr>
                  <w:tcW w:w="582" w:type="pct"/>
                  <w:vMerge w:val="restar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委托当地有环境监测资质的单位</w:t>
                  </w:r>
                </w:p>
              </w:tc>
              <w:tc>
                <w:tcPr>
                  <w:tcW w:w="616" w:type="pct"/>
                  <w:vMerge w:val="restar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当地</w:t>
                  </w:r>
                </w:p>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部门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820"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厂</w:t>
                  </w:r>
                  <w:r>
                    <w:rPr>
                      <w:rFonts w:hint="default" w:ascii="Times New Roman" w:hAnsi="Times New Roman" w:eastAsia="宋体" w:cs="Times New Roman"/>
                      <w:color w:val="auto"/>
                      <w:sz w:val="21"/>
                      <w:szCs w:val="21"/>
                    </w:rPr>
                    <w:t>界</w:t>
                  </w:r>
                </w:p>
              </w:tc>
              <w:tc>
                <w:tcPr>
                  <w:tcW w:w="1674"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氨气、硫化氢、臭气浓度</w:t>
                  </w:r>
                </w:p>
              </w:tc>
              <w:tc>
                <w:tcPr>
                  <w:tcW w:w="935" w:type="pct"/>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半年</w:t>
                  </w:r>
                  <w:r>
                    <w:rPr>
                      <w:rFonts w:hint="default" w:ascii="Times New Roman" w:hAnsi="Times New Roman" w:eastAsia="宋体" w:cs="Times New Roman"/>
                      <w:color w:val="auto"/>
                      <w:sz w:val="21"/>
                      <w:szCs w:val="21"/>
                    </w:rPr>
                    <w:t>监测一次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82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站区甲烷体积浓度最高处</w:t>
                  </w:r>
                </w:p>
              </w:tc>
              <w:tc>
                <w:tcPr>
                  <w:tcW w:w="1674"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甲烷</w:t>
                  </w:r>
                </w:p>
              </w:tc>
              <w:tc>
                <w:tcPr>
                  <w:tcW w:w="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年</w:t>
                  </w:r>
                  <w:r>
                    <w:rPr>
                      <w:rFonts w:hint="default" w:ascii="Times New Roman" w:hAnsi="Times New Roman" w:eastAsia="宋体" w:cs="Times New Roman"/>
                      <w:color w:val="auto"/>
                      <w:sz w:val="21"/>
                      <w:szCs w:val="21"/>
                    </w:rPr>
                    <w:t>监测一次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370" w:type="pct"/>
                  <w:vMerge w:val="restar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20" w:type="pct"/>
                  <w:vMerge w:val="restar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废水外排口</w:t>
                  </w:r>
                </w:p>
              </w:tc>
              <w:tc>
                <w:tcPr>
                  <w:tcW w:w="1674"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流量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PH值、</w:t>
                  </w:r>
                  <w:r>
                    <w:rPr>
                      <w:rFonts w:hint="default" w:ascii="Times New Roman" w:hAnsi="Times New Roman" w:eastAsia="宋体" w:cs="Times New Roman"/>
                      <w:color w:val="auto"/>
                      <w:sz w:val="21"/>
                      <w:szCs w:val="21"/>
                      <w:lang w:eastAsia="zh-CN"/>
                    </w:rPr>
                    <w:t>水温、化学需氧量、氨氮、总磷、总氮</w:t>
                  </w:r>
                </w:p>
              </w:tc>
              <w:tc>
                <w:tcPr>
                  <w:tcW w:w="935"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自动监测</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370"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820" w:type="pct"/>
                  <w:vMerge w:val="continue"/>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p>
              </w:tc>
              <w:tc>
                <w:tcPr>
                  <w:tcW w:w="1674" w:type="pct"/>
                  <w:tcBorders>
                    <w:tl2br w:val="nil"/>
                    <w:tr2bl w:val="nil"/>
                  </w:tcBorders>
                  <w:vAlign w:val="center"/>
                </w:tcPr>
                <w:p>
                  <w:pPr>
                    <w:pStyle w:val="70"/>
                    <w:autoSpaceDE w:val="0"/>
                    <w:autoSpaceDN w:val="0"/>
                    <w:spacing w:line="240" w:lineRule="auto"/>
                    <w:ind w:firstLine="32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悬浮物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色度、五日生化需氧量</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动植物油、石油类、阴离子表面活性剂、粪大肠菌群</w:t>
                  </w:r>
                </w:p>
              </w:tc>
              <w:tc>
                <w:tcPr>
                  <w:tcW w:w="935"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每季度一次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70"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820" w:type="pct"/>
                  <w:vMerge w:val="continue"/>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p>
              </w:tc>
              <w:tc>
                <w:tcPr>
                  <w:tcW w:w="1674"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总镉、总铬、总汞、总铅、总砷、六价铬</w:t>
                  </w:r>
                </w:p>
              </w:tc>
              <w:tc>
                <w:tcPr>
                  <w:tcW w:w="935"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半年</w:t>
                  </w:r>
                  <w:r>
                    <w:rPr>
                      <w:rFonts w:hint="default" w:ascii="Times New Roman" w:hAnsi="Times New Roman" w:eastAsia="宋体" w:cs="Times New Roman"/>
                      <w:color w:val="auto"/>
                      <w:sz w:val="21"/>
                      <w:szCs w:val="21"/>
                    </w:rPr>
                    <w:t>监测一次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70"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820" w:type="pct"/>
                  <w:vMerge w:val="continue"/>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p>
              </w:tc>
              <w:tc>
                <w:tcPr>
                  <w:tcW w:w="1674"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烷基汞</w:t>
                  </w:r>
                </w:p>
              </w:tc>
              <w:tc>
                <w:tcPr>
                  <w:tcW w:w="935"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半年</w:t>
                  </w:r>
                  <w:r>
                    <w:rPr>
                      <w:rFonts w:hint="default" w:ascii="Times New Roman" w:hAnsi="Times New Roman" w:eastAsia="宋体" w:cs="Times New Roman"/>
                      <w:color w:val="auto"/>
                      <w:sz w:val="21"/>
                      <w:szCs w:val="21"/>
                    </w:rPr>
                    <w:t>监测一次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370"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820" w:type="pct"/>
                  <w:vMerge w:val="continue"/>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rPr>
                  </w:pPr>
                </w:p>
              </w:tc>
              <w:tc>
                <w:tcPr>
                  <w:tcW w:w="1674"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 18918的表3中纳入许可的指标</w:t>
                  </w:r>
                </w:p>
              </w:tc>
              <w:tc>
                <w:tcPr>
                  <w:tcW w:w="935" w:type="pct"/>
                  <w:tcBorders>
                    <w:tl2br w:val="nil"/>
                    <w:tr2bl w:val="nil"/>
                  </w:tcBorders>
                  <w:vAlign w:val="center"/>
                </w:tcPr>
                <w:p>
                  <w:pPr>
                    <w:pStyle w:val="70"/>
                    <w:autoSpaceDE w:val="0"/>
                    <w:autoSpaceDN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每半年监测一次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0"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820"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站</w:t>
                  </w:r>
                  <w:r>
                    <w:rPr>
                      <w:rFonts w:hint="default" w:ascii="Times New Roman" w:hAnsi="Times New Roman" w:eastAsia="宋体" w:cs="Times New Roman"/>
                      <w:color w:val="auto"/>
                      <w:sz w:val="21"/>
                      <w:szCs w:val="21"/>
                    </w:rPr>
                    <w:t>界</w:t>
                  </w:r>
                </w:p>
              </w:tc>
              <w:tc>
                <w:tcPr>
                  <w:tcW w:w="1674"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Leq(A)</w:t>
                  </w:r>
                </w:p>
              </w:tc>
              <w:tc>
                <w:tcPr>
                  <w:tcW w:w="935" w:type="pct"/>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每季度监测一次</w:t>
                  </w:r>
                </w:p>
              </w:tc>
              <w:tc>
                <w:tcPr>
                  <w:tcW w:w="582"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c>
                <w:tcPr>
                  <w:tcW w:w="616" w:type="pct"/>
                  <w:vMerge w:val="continue"/>
                  <w:tcBorders>
                    <w:tl2br w:val="nil"/>
                    <w:tr2bl w:val="nil"/>
                  </w:tcBorders>
                  <w:vAlign w:val="center"/>
                </w:tcPr>
                <w:p>
                  <w:pPr>
                    <w:snapToGrid w:val="0"/>
                    <w:spacing w:line="240" w:lineRule="auto"/>
                    <w:jc w:val="center"/>
                    <w:rPr>
                      <w:rFonts w:hint="default" w:ascii="Times New Roman" w:hAnsi="Times New Roman" w:eastAsia="宋体" w:cs="Times New Roman"/>
                      <w:color w:val="auto"/>
                      <w:sz w:val="21"/>
                      <w:szCs w:val="21"/>
                    </w:rPr>
                  </w:pPr>
                </w:p>
              </w:tc>
            </w:tr>
          </w:tbl>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）公开信息内容</w:t>
            </w:r>
          </w:p>
          <w:p>
            <w:pPr>
              <w:spacing w:line="480" w:lineRule="exact"/>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建设单位有义务向公众公开企业环境保护相关信息，公开内容包括：企业基本信息：企业名称、主要建设内容等</w:t>
            </w:r>
            <w:r>
              <w:rPr>
                <w:rFonts w:hint="default" w:ascii="Times New Roman" w:hAnsi="Times New Roman" w:eastAsia="宋体" w:cs="Times New Roman"/>
                <w:color w:val="auto"/>
                <w:sz w:val="24"/>
                <w:lang w:eastAsia="zh-CN"/>
              </w:rPr>
              <w:t>。</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主要污染源及治理情况：主要污染源个数、排放的主要污染物种类、主要污染物排放情况等。</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突发环境事件应急情况：应急等级及相应情况、应急措施、疏散路线说明、应急人员的联系方式；</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环境监督举报：企业环境监督电话、当地环境违法举报电话。</w:t>
            </w:r>
          </w:p>
          <w:p>
            <w:pPr>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（2）公开方式</w:t>
            </w:r>
          </w:p>
          <w:p>
            <w:pPr>
              <w:adjustRightInd w:val="0"/>
              <w:snapToGrid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根据企业实际情况，可采取网站公示及厂外设立公示牌方式公开信息。</w:t>
            </w:r>
          </w:p>
        </w:tc>
      </w:tr>
    </w:tbl>
    <w:p>
      <w:pPr>
        <w:spacing w:line="360" w:lineRule="auto"/>
        <w:rPr>
          <w:rFonts w:hint="default" w:ascii="Times New Roman" w:hAnsi="Times New Roman" w:eastAsia="宋体" w:cs="Times New Roman"/>
          <w:b/>
          <w:color w:val="auto"/>
          <w:sz w:val="32"/>
          <w:szCs w:val="32"/>
        </w:rPr>
        <w:sectPr>
          <w:pgSz w:w="11906" w:h="16838"/>
          <w:pgMar w:top="1361" w:right="1474" w:bottom="1361" w:left="1474" w:header="907" w:footer="1134"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79" w:beforeLines="25" w:after="79" w:afterLines="25"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表7-2</w:t>
      </w: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污染物排放及环保措施情况一览</w:t>
      </w:r>
    </w:p>
    <w:tbl>
      <w:tblPr>
        <w:tblStyle w:val="77"/>
        <w:tblW w:w="144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82"/>
        <w:gridCol w:w="761"/>
        <w:gridCol w:w="924"/>
        <w:gridCol w:w="780"/>
        <w:gridCol w:w="180"/>
        <w:gridCol w:w="525"/>
        <w:gridCol w:w="720"/>
        <w:gridCol w:w="3195"/>
        <w:gridCol w:w="555"/>
        <w:gridCol w:w="105"/>
        <w:gridCol w:w="420"/>
        <w:gridCol w:w="600"/>
        <w:gridCol w:w="570"/>
        <w:gridCol w:w="645"/>
        <w:gridCol w:w="510"/>
        <w:gridCol w:w="165"/>
        <w:gridCol w:w="772"/>
        <w:gridCol w:w="908"/>
        <w:gridCol w:w="16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noWrap/>
            <w:tcMar>
              <w:left w:w="0" w:type="dxa"/>
              <w:right w:w="0" w:type="dxa"/>
            </w:tcMar>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3975" w:type="dxa"/>
            <w:gridSpan w:val="18"/>
            <w:noWrap/>
            <w:tcMar>
              <w:left w:w="0" w:type="dxa"/>
              <w:right w:w="0" w:type="dxa"/>
            </w:tcMar>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noWrap/>
            <w:tcMar>
              <w:left w:w="0" w:type="dxa"/>
              <w:right w:w="0" w:type="dxa"/>
            </w:tcMar>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工程组成</w:t>
            </w:r>
          </w:p>
        </w:tc>
        <w:tc>
          <w:tcPr>
            <w:tcW w:w="13975" w:type="dxa"/>
            <w:gridSpan w:val="18"/>
            <w:noWrap/>
            <w:tcMar>
              <w:left w:w="0" w:type="dxa"/>
              <w:right w:w="0" w:type="dxa"/>
            </w:tcMar>
            <w:vAlign w:val="center"/>
          </w:tcPr>
          <w:p>
            <w:pPr>
              <w:widowControl/>
              <w:adjustRightInd w:val="0"/>
              <w:snapToGrid w:val="0"/>
              <w:jc w:val="left"/>
              <w:textAlignment w:val="baseline"/>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color w:val="auto"/>
                <w:kern w:val="0"/>
                <w:szCs w:val="21"/>
                <w:u w:color="000000"/>
              </w:rPr>
              <w:t>项目名称：山西省繁峙县3000m³生活污水应急处理站项目</w:t>
            </w:r>
          </w:p>
          <w:p>
            <w:pPr>
              <w:widowControl/>
              <w:adjustRightInd w:val="0"/>
              <w:snapToGrid w:val="0"/>
              <w:jc w:val="left"/>
              <w:textAlignment w:val="baseline"/>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color w:val="auto"/>
                <w:kern w:val="0"/>
                <w:szCs w:val="21"/>
                <w:u w:color="000000"/>
              </w:rPr>
              <w:t>建设单位：繁峙县市政工程服务中心</w:t>
            </w:r>
          </w:p>
          <w:p>
            <w:pPr>
              <w:widowControl/>
              <w:adjustRightInd w:val="0"/>
              <w:snapToGrid w:val="0"/>
              <w:jc w:val="left"/>
              <w:textAlignment w:val="baseline"/>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color w:val="auto"/>
                <w:kern w:val="0"/>
                <w:szCs w:val="21"/>
                <w:u w:color="000000"/>
              </w:rPr>
              <w:t>建设规模：日处理3000m³/d</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u w:color="000000"/>
              </w:rPr>
              <w:t>建设内容：新建污水处理站、综合办公室、化验室；</w:t>
            </w:r>
            <w:r>
              <w:rPr>
                <w:rFonts w:hint="default" w:ascii="Times New Roman" w:hAnsi="Times New Roman" w:eastAsia="宋体" w:cs="Times New Roman"/>
                <w:color w:val="auto"/>
                <w:kern w:val="0"/>
                <w:szCs w:val="21"/>
                <w:u w:color="000000"/>
                <w:lang w:eastAsia="zh-CN"/>
              </w:rPr>
              <w:t>站区</w:t>
            </w:r>
            <w:r>
              <w:rPr>
                <w:rFonts w:hint="default" w:ascii="Times New Roman" w:hAnsi="Times New Roman" w:eastAsia="宋体" w:cs="Times New Roman"/>
                <w:color w:val="auto"/>
                <w:kern w:val="0"/>
                <w:szCs w:val="21"/>
                <w:u w:color="000000"/>
              </w:rPr>
              <w:t>绿化、硬化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restart"/>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分类</w:t>
            </w:r>
          </w:p>
        </w:tc>
        <w:tc>
          <w:tcPr>
            <w:tcW w:w="761" w:type="dxa"/>
            <w:vMerge w:val="restart"/>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排放源</w:t>
            </w:r>
          </w:p>
        </w:tc>
        <w:tc>
          <w:tcPr>
            <w:tcW w:w="924" w:type="dxa"/>
            <w:vMerge w:val="restart"/>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205" w:type="dxa"/>
            <w:gridSpan w:val="4"/>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产生情况</w:t>
            </w:r>
          </w:p>
        </w:tc>
        <w:tc>
          <w:tcPr>
            <w:tcW w:w="3195" w:type="dxa"/>
            <w:vMerge w:val="restart"/>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环评提出的污染治理措施</w:t>
            </w:r>
          </w:p>
        </w:tc>
        <w:tc>
          <w:tcPr>
            <w:tcW w:w="1680" w:type="dxa"/>
            <w:gridSpan w:val="4"/>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排放筒参数</w:t>
            </w:r>
          </w:p>
        </w:tc>
        <w:tc>
          <w:tcPr>
            <w:tcW w:w="570" w:type="dxa"/>
            <w:vMerge w:val="restart"/>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效果</w:t>
            </w:r>
          </w:p>
        </w:tc>
        <w:tc>
          <w:tcPr>
            <w:tcW w:w="645" w:type="dxa"/>
            <w:vMerge w:val="restart"/>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运行</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制度</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（h/a）</w:t>
            </w:r>
          </w:p>
        </w:tc>
        <w:tc>
          <w:tcPr>
            <w:tcW w:w="1447" w:type="dxa"/>
            <w:gridSpan w:val="3"/>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排放情况</w:t>
            </w:r>
          </w:p>
        </w:tc>
        <w:tc>
          <w:tcPr>
            <w:tcW w:w="2548" w:type="dxa"/>
            <w:gridSpan w:val="2"/>
            <w:vMerge w:val="restart"/>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continue"/>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924" w:type="dxa"/>
            <w:vMerge w:val="continue"/>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80" w:type="dxa"/>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废气量（m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/h）</w:t>
            </w:r>
          </w:p>
        </w:tc>
        <w:tc>
          <w:tcPr>
            <w:tcW w:w="705" w:type="dxa"/>
            <w:gridSpan w:val="2"/>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浓度mg/m</w:t>
            </w:r>
            <w:r>
              <w:rPr>
                <w:rFonts w:hint="default" w:ascii="Times New Roman" w:hAnsi="Times New Roman" w:eastAsia="宋体" w:cs="Times New Roman"/>
                <w:color w:val="auto"/>
                <w:szCs w:val="21"/>
                <w:vertAlign w:val="superscript"/>
              </w:rPr>
              <w:t>3</w:t>
            </w:r>
          </w:p>
        </w:tc>
        <w:tc>
          <w:tcPr>
            <w:tcW w:w="720" w:type="dxa"/>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3195" w:type="dxa"/>
            <w:vMerge w:val="continue"/>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555" w:type="dxa"/>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高度</w:t>
            </w:r>
          </w:p>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p>
        </w:tc>
        <w:tc>
          <w:tcPr>
            <w:tcW w:w="525" w:type="dxa"/>
            <w:gridSpan w:val="2"/>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内径</w:t>
            </w:r>
          </w:p>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p>
        </w:tc>
        <w:tc>
          <w:tcPr>
            <w:tcW w:w="600" w:type="dxa"/>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温度</w:t>
            </w:r>
          </w:p>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75" w:type="dxa"/>
            <w:gridSpan w:val="2"/>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浓度mg/m</w:t>
            </w:r>
            <w:r>
              <w:rPr>
                <w:rFonts w:hint="default" w:ascii="Times New Roman" w:hAnsi="Times New Roman" w:eastAsia="宋体" w:cs="Times New Roman"/>
                <w:color w:val="auto"/>
                <w:szCs w:val="21"/>
                <w:vertAlign w:val="superscript"/>
              </w:rPr>
              <w:t>3</w:t>
            </w:r>
          </w:p>
        </w:tc>
        <w:tc>
          <w:tcPr>
            <w:tcW w:w="772"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restart"/>
            <w:noWrap/>
            <w:tcMar>
              <w:left w:w="0" w:type="dxa"/>
              <w:right w:w="0" w:type="dxa"/>
            </w:tcMar>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w:t>
            </w:r>
          </w:p>
        </w:tc>
        <w:tc>
          <w:tcPr>
            <w:tcW w:w="761" w:type="dxa"/>
            <w:vMerge w:val="restart"/>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生活污水应急处理站恶臭气体G</w:t>
            </w:r>
            <w:r>
              <w:rPr>
                <w:rFonts w:hint="default" w:ascii="Times New Roman" w:hAnsi="Times New Roman" w:eastAsia="宋体" w:cs="Times New Roman"/>
                <w:color w:val="auto"/>
                <w:szCs w:val="21"/>
                <w:vertAlign w:val="subscript"/>
              </w:rPr>
              <w:t>1</w:t>
            </w:r>
          </w:p>
        </w:tc>
        <w:tc>
          <w:tcPr>
            <w:tcW w:w="924" w:type="dxa"/>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Cs w:val="21"/>
              </w:rPr>
              <w:t>NH</w:t>
            </w:r>
            <w:r>
              <w:rPr>
                <w:rFonts w:hint="default" w:ascii="Times New Roman" w:hAnsi="Times New Roman" w:eastAsia="宋体" w:cs="Times New Roman"/>
                <w:bCs/>
                <w:color w:val="auto"/>
                <w:kern w:val="0"/>
                <w:szCs w:val="21"/>
                <w:vertAlign w:val="subscript"/>
              </w:rPr>
              <w:t>3</w:t>
            </w:r>
          </w:p>
        </w:tc>
        <w:tc>
          <w:tcPr>
            <w:tcW w:w="780" w:type="dxa"/>
            <w:vMerge w:val="restart"/>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30000</w:t>
            </w:r>
          </w:p>
        </w:tc>
        <w:tc>
          <w:tcPr>
            <w:tcW w:w="705" w:type="dxa"/>
            <w:gridSpan w:val="2"/>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0.04</w:t>
            </w:r>
          </w:p>
        </w:tc>
        <w:tc>
          <w:tcPr>
            <w:tcW w:w="720" w:type="dxa"/>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c>
          <w:tcPr>
            <w:tcW w:w="3195" w:type="dxa"/>
            <w:vMerge w:val="restart"/>
            <w:noWrap/>
            <w:tcMar>
              <w:left w:w="0" w:type="dxa"/>
              <w:right w:w="0" w:type="dxa"/>
            </w:tcMar>
            <w:vAlign w:val="center"/>
          </w:tcPr>
          <w:p>
            <w:pPr>
              <w:pStyle w:val="206"/>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kern w:val="2"/>
                <w:sz w:val="21"/>
                <w:szCs w:val="21"/>
                <w:lang w:val="en-US" w:eastAsia="zh-CN" w:bidi="ar-SA"/>
              </w:rPr>
              <w:t>综合车间采用采用光氧活性炭一体机（UV光解+活性炭）后经15m排气筒排放；格栅机、压滤机等设于建筑物内，设置排风机换气；各类池体均加盖处理；加强日常运行管理、加强绿化、确保满足卫生防护距离的要求</w:t>
            </w:r>
          </w:p>
        </w:tc>
        <w:tc>
          <w:tcPr>
            <w:tcW w:w="555" w:type="dxa"/>
            <w:vMerge w:val="restart"/>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15</w:t>
            </w:r>
          </w:p>
        </w:tc>
        <w:tc>
          <w:tcPr>
            <w:tcW w:w="525" w:type="dxa"/>
            <w:gridSpan w:val="2"/>
            <w:vMerge w:val="restart"/>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0.35</w:t>
            </w:r>
          </w:p>
        </w:tc>
        <w:tc>
          <w:tcPr>
            <w:tcW w:w="600" w:type="dxa"/>
            <w:vMerge w:val="restart"/>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w:t>
            </w:r>
          </w:p>
        </w:tc>
        <w:tc>
          <w:tcPr>
            <w:tcW w:w="570" w:type="dxa"/>
            <w:vMerge w:val="restart"/>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pacing w:val="6"/>
                <w:szCs w:val="21"/>
                <w:lang w:val="en-US" w:eastAsia="zh-CN"/>
              </w:rPr>
              <w:t>70%</w:t>
            </w:r>
          </w:p>
        </w:tc>
        <w:tc>
          <w:tcPr>
            <w:tcW w:w="645" w:type="dxa"/>
            <w:vMerge w:val="restart"/>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8760</w:t>
            </w:r>
          </w:p>
        </w:tc>
        <w:tc>
          <w:tcPr>
            <w:tcW w:w="675" w:type="dxa"/>
            <w:gridSpan w:val="2"/>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c>
          <w:tcPr>
            <w:tcW w:w="772" w:type="dxa"/>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0.003</w:t>
            </w:r>
          </w:p>
        </w:tc>
        <w:tc>
          <w:tcPr>
            <w:tcW w:w="2548" w:type="dxa"/>
            <w:gridSpan w:val="2"/>
            <w:vMerge w:val="restart"/>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《城镇污水处理站污染物排放标准》</w:t>
            </w:r>
            <w:r>
              <w:rPr>
                <w:rFonts w:hint="default" w:ascii="Times New Roman" w:hAnsi="Times New Roman" w:eastAsia="宋体" w:cs="Times New Roman"/>
                <w:color w:val="auto"/>
                <w:szCs w:val="21"/>
              </w:rPr>
              <w:t>（GB18918-2002）表4中的二级标准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761"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924" w:type="dxa"/>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Cs w:val="21"/>
              </w:rPr>
              <w:t>H</w:t>
            </w:r>
            <w:r>
              <w:rPr>
                <w:rFonts w:hint="default" w:ascii="Times New Roman" w:hAnsi="Times New Roman" w:eastAsia="宋体" w:cs="Times New Roman"/>
                <w:bCs/>
                <w:color w:val="auto"/>
                <w:kern w:val="0"/>
                <w:szCs w:val="21"/>
                <w:vertAlign w:val="subscript"/>
              </w:rPr>
              <w:t>2</w:t>
            </w:r>
            <w:r>
              <w:rPr>
                <w:rFonts w:hint="default" w:ascii="Times New Roman" w:hAnsi="Times New Roman" w:eastAsia="宋体" w:cs="Times New Roman"/>
                <w:bCs/>
                <w:color w:val="auto"/>
                <w:kern w:val="0"/>
                <w:szCs w:val="21"/>
              </w:rPr>
              <w:t>S</w:t>
            </w:r>
          </w:p>
        </w:tc>
        <w:tc>
          <w:tcPr>
            <w:tcW w:w="780" w:type="dxa"/>
            <w:vMerge w:val="continue"/>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rPr>
            </w:pPr>
          </w:p>
        </w:tc>
        <w:tc>
          <w:tcPr>
            <w:tcW w:w="705" w:type="dxa"/>
            <w:gridSpan w:val="2"/>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0.0011</w:t>
            </w:r>
          </w:p>
        </w:tc>
        <w:tc>
          <w:tcPr>
            <w:tcW w:w="720" w:type="dxa"/>
            <w:noWrap/>
            <w:tcMar>
              <w:left w:w="0" w:type="dxa"/>
              <w:right w:w="0" w:type="dxa"/>
            </w:tcMar>
            <w:vAlign w:val="center"/>
          </w:tcPr>
          <w:p>
            <w:pPr>
              <w:pStyle w:val="7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0.0003</w:t>
            </w:r>
          </w:p>
        </w:tc>
        <w:tc>
          <w:tcPr>
            <w:tcW w:w="3195"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555"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525" w:type="dxa"/>
            <w:gridSpan w:val="2"/>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600"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570" w:type="dxa"/>
            <w:vMerge w:val="continue"/>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0.00034</w:t>
            </w:r>
          </w:p>
        </w:tc>
        <w:tc>
          <w:tcPr>
            <w:tcW w:w="772" w:type="dxa"/>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0.00009</w:t>
            </w:r>
          </w:p>
        </w:tc>
        <w:tc>
          <w:tcPr>
            <w:tcW w:w="2548" w:type="dxa"/>
            <w:gridSpan w:val="2"/>
            <w:vMerge w:val="continue"/>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4" w:hRule="atLeast"/>
          <w:jc w:val="center"/>
        </w:trPr>
        <w:tc>
          <w:tcPr>
            <w:tcW w:w="482"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761"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924" w:type="dxa"/>
            <w:noWrap/>
            <w:tcMar>
              <w:left w:w="0" w:type="dxa"/>
              <w:right w:w="0" w:type="dxa"/>
            </w:tcMar>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臭气</w:t>
            </w:r>
          </w:p>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w:t>
            </w:r>
          </w:p>
        </w:tc>
        <w:tc>
          <w:tcPr>
            <w:tcW w:w="780" w:type="dxa"/>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05" w:type="dxa"/>
            <w:gridSpan w:val="2"/>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20" w:type="dxa"/>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200无量纲</w:t>
            </w:r>
          </w:p>
        </w:tc>
        <w:tc>
          <w:tcPr>
            <w:tcW w:w="3195" w:type="dxa"/>
            <w:vMerge w:val="continue"/>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555" w:type="dxa"/>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25" w:type="dxa"/>
            <w:gridSpan w:val="2"/>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00" w:type="dxa"/>
            <w:noWrap/>
            <w:tcMar>
              <w:left w:w="0" w:type="dxa"/>
              <w:right w:w="0" w:type="dxa"/>
            </w:tcMar>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0" w:type="dxa"/>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45" w:type="dxa"/>
            <w:vMerge w:val="continue"/>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72" w:type="dxa"/>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15无量纲</w:t>
            </w:r>
          </w:p>
        </w:tc>
        <w:tc>
          <w:tcPr>
            <w:tcW w:w="2548" w:type="dxa"/>
            <w:gridSpan w:val="2"/>
            <w:vMerge w:val="continue"/>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8" w:hRule="atLeast"/>
          <w:jc w:val="center"/>
        </w:trPr>
        <w:tc>
          <w:tcPr>
            <w:tcW w:w="482"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分类</w:t>
            </w:r>
          </w:p>
        </w:tc>
        <w:tc>
          <w:tcPr>
            <w:tcW w:w="761"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color w:val="auto"/>
                <w:kern w:val="0"/>
                <w:szCs w:val="21"/>
                <w:u w:color="000000"/>
              </w:rPr>
              <w:t>排放源</w:t>
            </w: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780"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废水量（t/d）</w:t>
            </w:r>
          </w:p>
        </w:tc>
        <w:tc>
          <w:tcPr>
            <w:tcW w:w="705" w:type="dxa"/>
            <w:gridSpan w:val="2"/>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浓度mg/L</w:t>
            </w:r>
          </w:p>
        </w:tc>
        <w:tc>
          <w:tcPr>
            <w:tcW w:w="720"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4875" w:type="dxa"/>
            <w:gridSpan w:val="5"/>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环评提出的污染治理措施</w:t>
            </w:r>
          </w:p>
        </w:tc>
        <w:tc>
          <w:tcPr>
            <w:tcW w:w="570"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效果</w:t>
            </w:r>
          </w:p>
        </w:tc>
        <w:tc>
          <w:tcPr>
            <w:tcW w:w="645"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运行</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制度</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（h/a）</w:t>
            </w:r>
          </w:p>
        </w:tc>
        <w:tc>
          <w:tcPr>
            <w:tcW w:w="675" w:type="dxa"/>
            <w:gridSpan w:val="2"/>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浓度mg/m</w:t>
            </w:r>
            <w:r>
              <w:rPr>
                <w:rFonts w:hint="default" w:ascii="Times New Roman" w:hAnsi="Times New Roman" w:eastAsia="宋体" w:cs="Times New Roman"/>
                <w:color w:val="auto"/>
                <w:szCs w:val="21"/>
                <w:vertAlign w:val="superscript"/>
              </w:rPr>
              <w:t>3</w:t>
            </w:r>
          </w:p>
        </w:tc>
        <w:tc>
          <w:tcPr>
            <w:tcW w:w="772"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2548" w:type="dxa"/>
            <w:gridSpan w:val="2"/>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8" w:hRule="atLeast"/>
          <w:jc w:val="center"/>
        </w:trPr>
        <w:tc>
          <w:tcPr>
            <w:tcW w:w="482"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761"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u w:color="000000"/>
              </w:rPr>
              <w:t>生活污水应急处理站尾水</w:t>
            </w: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780" w:type="dxa"/>
            <w:vMerge w:val="restart"/>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3000</w:t>
            </w:r>
          </w:p>
        </w:tc>
        <w:tc>
          <w:tcPr>
            <w:tcW w:w="70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330</w:t>
            </w:r>
          </w:p>
        </w:tc>
        <w:tc>
          <w:tcPr>
            <w:tcW w:w="720" w:type="dxa"/>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361.35</w:t>
            </w:r>
          </w:p>
        </w:tc>
        <w:tc>
          <w:tcPr>
            <w:tcW w:w="4875" w:type="dxa"/>
            <w:gridSpan w:val="5"/>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经污水处理系统处理达标后的废水经排污渠排入滹沱河</w:t>
            </w:r>
          </w:p>
        </w:tc>
        <w:tc>
          <w:tcPr>
            <w:tcW w:w="570"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达标排放</w:t>
            </w:r>
          </w:p>
        </w:tc>
        <w:tc>
          <w:tcPr>
            <w:tcW w:w="645"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7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40</w:t>
            </w:r>
          </w:p>
        </w:tc>
        <w:tc>
          <w:tcPr>
            <w:tcW w:w="772" w:type="dxa"/>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43.8</w:t>
            </w:r>
          </w:p>
        </w:tc>
        <w:tc>
          <w:tcPr>
            <w:tcW w:w="2548" w:type="dxa"/>
            <w:gridSpan w:val="2"/>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CODcr、TP、NH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-N执行</w:t>
            </w:r>
            <w:r>
              <w:rPr>
                <w:rFonts w:hint="default" w:ascii="Times New Roman" w:hAnsi="Times New Roman" w:eastAsia="宋体" w:cs="Times New Roman"/>
                <w:color w:val="auto"/>
                <w:szCs w:val="21"/>
                <w:lang w:val="en-US" w:eastAsia="zh-CN"/>
              </w:rPr>
              <w:t>《山西省地方标准污水综合排放标准》（DB14/1928-2019）中表2</w:t>
            </w:r>
            <w:r>
              <w:rPr>
                <w:rFonts w:hint="default" w:ascii="Times New Roman" w:hAnsi="Times New Roman" w:eastAsia="宋体" w:cs="Times New Roman"/>
                <w:color w:val="auto"/>
                <w:szCs w:val="21"/>
              </w:rPr>
              <w:t>标准，其余指标执行</w:t>
            </w:r>
            <w:r>
              <w:rPr>
                <w:rFonts w:hint="default" w:ascii="Times New Roman" w:hAnsi="Times New Roman" w:eastAsia="宋体" w:cs="Times New Roman"/>
                <w:color w:val="auto"/>
                <w:szCs w:val="21"/>
                <w:lang w:eastAsia="zh-CN"/>
              </w:rPr>
              <w:t>《城镇污水处理站污染物排放标准》</w:t>
            </w:r>
            <w:r>
              <w:rPr>
                <w:rFonts w:hint="default" w:ascii="Times New Roman" w:hAnsi="Times New Roman" w:eastAsia="宋体" w:cs="Times New Roman"/>
                <w:color w:val="auto"/>
                <w:szCs w:val="21"/>
              </w:rPr>
              <w:t>（GB18918-2002）一级A标准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8"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78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0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169</w:t>
            </w:r>
          </w:p>
        </w:tc>
        <w:tc>
          <w:tcPr>
            <w:tcW w:w="720" w:type="dxa"/>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185.055</w:t>
            </w:r>
          </w:p>
        </w:tc>
        <w:tc>
          <w:tcPr>
            <w:tcW w:w="4875" w:type="dxa"/>
            <w:gridSpan w:val="5"/>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57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772" w:type="dxa"/>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10.95</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8"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78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0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109</w:t>
            </w:r>
          </w:p>
        </w:tc>
        <w:tc>
          <w:tcPr>
            <w:tcW w:w="720" w:type="dxa"/>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119.355</w:t>
            </w:r>
          </w:p>
        </w:tc>
        <w:tc>
          <w:tcPr>
            <w:tcW w:w="4875" w:type="dxa"/>
            <w:gridSpan w:val="5"/>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57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772" w:type="dxa"/>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10.95</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2"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78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0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3.4</w:t>
            </w:r>
          </w:p>
        </w:tc>
        <w:tc>
          <w:tcPr>
            <w:tcW w:w="720" w:type="dxa"/>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3.723</w:t>
            </w:r>
          </w:p>
        </w:tc>
        <w:tc>
          <w:tcPr>
            <w:tcW w:w="4875" w:type="dxa"/>
            <w:gridSpan w:val="5"/>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570"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0.4</w:t>
            </w:r>
          </w:p>
        </w:tc>
        <w:tc>
          <w:tcPr>
            <w:tcW w:w="772" w:type="dxa"/>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0.438</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2"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78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0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50</w:t>
            </w:r>
          </w:p>
        </w:tc>
        <w:tc>
          <w:tcPr>
            <w:tcW w:w="720" w:type="dxa"/>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54.75</w:t>
            </w:r>
          </w:p>
        </w:tc>
        <w:tc>
          <w:tcPr>
            <w:tcW w:w="4875" w:type="dxa"/>
            <w:gridSpan w:val="5"/>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57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w:t>
            </w:r>
          </w:p>
        </w:tc>
        <w:tc>
          <w:tcPr>
            <w:tcW w:w="772" w:type="dxa"/>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16.425</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2"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924"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78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70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38</w:t>
            </w:r>
          </w:p>
        </w:tc>
        <w:tc>
          <w:tcPr>
            <w:tcW w:w="720" w:type="dxa"/>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41.61</w:t>
            </w:r>
          </w:p>
        </w:tc>
        <w:tc>
          <w:tcPr>
            <w:tcW w:w="4875" w:type="dxa"/>
            <w:gridSpan w:val="5"/>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570"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c>
          <w:tcPr>
            <w:tcW w:w="675" w:type="dxa"/>
            <w:gridSpan w:val="2"/>
            <w:noWrap/>
            <w:vAlign w:val="center"/>
          </w:tcPr>
          <w:p>
            <w:pPr>
              <w:pStyle w:val="3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772" w:type="dxa"/>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2.19</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w:t>
            </w:r>
          </w:p>
        </w:tc>
        <w:tc>
          <w:tcPr>
            <w:tcW w:w="761" w:type="dxa"/>
            <w:vMerge w:val="restart"/>
            <w:noWrap/>
            <w:vAlign w:val="center"/>
          </w:tcPr>
          <w:p>
            <w:pPr>
              <w:pStyle w:val="38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生产固体废物</w:t>
            </w:r>
          </w:p>
          <w:p>
            <w:pPr>
              <w:pStyle w:val="38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924"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780"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70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720" w:type="dxa"/>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3.65</w:t>
            </w:r>
          </w:p>
        </w:tc>
        <w:tc>
          <w:tcPr>
            <w:tcW w:w="4875" w:type="dxa"/>
            <w:gridSpan w:val="5"/>
            <w:vMerge w:val="restart"/>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iCs/>
                <w:color w:val="auto"/>
              </w:rPr>
              <w:t>经收集装置收集后委托环卫部门统一处理</w:t>
            </w:r>
          </w:p>
        </w:tc>
        <w:tc>
          <w:tcPr>
            <w:tcW w:w="570"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合理处置</w:t>
            </w:r>
          </w:p>
        </w:tc>
        <w:tc>
          <w:tcPr>
            <w:tcW w:w="645"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w:t>
            </w:r>
          </w:p>
        </w:tc>
        <w:tc>
          <w:tcPr>
            <w:tcW w:w="67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772"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2548" w:type="dxa"/>
            <w:gridSpan w:val="2"/>
            <w:vMerge w:val="restart"/>
            <w:noWrap/>
            <w:vAlign w:val="center"/>
          </w:tcPr>
          <w:p>
            <w:pPr>
              <w:pStyle w:val="7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pStyle w:val="38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924"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格栅渣</w:t>
            </w:r>
          </w:p>
        </w:tc>
        <w:tc>
          <w:tcPr>
            <w:tcW w:w="780"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70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720" w:type="dxa"/>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21.9</w:t>
            </w:r>
          </w:p>
        </w:tc>
        <w:tc>
          <w:tcPr>
            <w:tcW w:w="4875" w:type="dxa"/>
            <w:gridSpan w:val="5"/>
            <w:vMerge w:val="continue"/>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p>
        </w:tc>
        <w:tc>
          <w:tcPr>
            <w:tcW w:w="570"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645"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75" w:type="dxa"/>
            <w:gridSpan w:val="2"/>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72"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2548" w:type="dxa"/>
            <w:gridSpan w:val="2"/>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pStyle w:val="38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924"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污泥</w:t>
            </w:r>
          </w:p>
        </w:tc>
        <w:tc>
          <w:tcPr>
            <w:tcW w:w="780"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0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720" w:type="dxa"/>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21.681</w:t>
            </w:r>
          </w:p>
        </w:tc>
        <w:tc>
          <w:tcPr>
            <w:tcW w:w="4875" w:type="dxa"/>
            <w:gridSpan w:val="5"/>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经叠螺脱水机后，</w:t>
            </w:r>
            <w:r>
              <w:rPr>
                <w:rFonts w:hint="default" w:ascii="Times New Roman" w:hAnsi="Times New Roman" w:eastAsia="宋体" w:cs="Times New Roman"/>
                <w:color w:val="auto"/>
                <w:sz w:val="21"/>
                <w:szCs w:val="21"/>
              </w:rPr>
              <w:t>外运做</w:t>
            </w:r>
            <w:r>
              <w:rPr>
                <w:rFonts w:hint="default" w:ascii="Times New Roman" w:hAnsi="Times New Roman" w:eastAsia="宋体" w:cs="Times New Roman"/>
                <w:color w:val="auto"/>
                <w:sz w:val="21"/>
                <w:szCs w:val="21"/>
                <w:lang w:eastAsia="zh-CN"/>
              </w:rPr>
              <w:t>至生活垃圾填埋场</w:t>
            </w:r>
          </w:p>
        </w:tc>
        <w:tc>
          <w:tcPr>
            <w:tcW w:w="570"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645"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7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w:t>
            </w:r>
          </w:p>
        </w:tc>
        <w:tc>
          <w:tcPr>
            <w:tcW w:w="772"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2548" w:type="dxa"/>
            <w:gridSpan w:val="2"/>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污泥处置执行《关于加强城镇污水处理厂污泥污染防治工作的通知》（〔2010〕157号）和《城镇污水处理厂污泥处理处置及污染防治技术政策（试行）》（建城〔2009〕23号）。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pStyle w:val="38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924"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废活性炭</w:t>
            </w:r>
          </w:p>
        </w:tc>
        <w:tc>
          <w:tcPr>
            <w:tcW w:w="780"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70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720" w:type="dxa"/>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4875" w:type="dxa"/>
            <w:gridSpan w:val="5"/>
            <w:vMerge w:val="restart"/>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危废间暂存，定期交由资质单位处置</w:t>
            </w:r>
          </w:p>
        </w:tc>
        <w:tc>
          <w:tcPr>
            <w:tcW w:w="570"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645" w:type="dxa"/>
            <w:vMerge w:val="restart"/>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w:t>
            </w:r>
          </w:p>
        </w:tc>
        <w:tc>
          <w:tcPr>
            <w:tcW w:w="675" w:type="dxa"/>
            <w:gridSpan w:val="2"/>
            <w:vMerge w:val="restart"/>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w:t>
            </w:r>
          </w:p>
        </w:tc>
        <w:tc>
          <w:tcPr>
            <w:tcW w:w="772" w:type="dxa"/>
            <w:vMerge w:val="restart"/>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0</w:t>
            </w:r>
          </w:p>
        </w:tc>
        <w:tc>
          <w:tcPr>
            <w:tcW w:w="2548" w:type="dxa"/>
            <w:gridSpan w:val="2"/>
            <w:vMerge w:val="restart"/>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《危险废物贮存污染控制标准（GB18597-2001）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761" w:type="dxa"/>
            <w:vMerge w:val="continue"/>
            <w:noWrap/>
            <w:vAlign w:val="center"/>
          </w:tcPr>
          <w:p>
            <w:pPr>
              <w:pStyle w:val="385"/>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924"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废紫外线灯管</w:t>
            </w:r>
          </w:p>
        </w:tc>
        <w:tc>
          <w:tcPr>
            <w:tcW w:w="780"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0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720" w:type="dxa"/>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60根</w:t>
            </w:r>
          </w:p>
        </w:tc>
        <w:tc>
          <w:tcPr>
            <w:tcW w:w="4875" w:type="dxa"/>
            <w:gridSpan w:val="5"/>
            <w:vMerge w:val="continue"/>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lang w:eastAsia="zh-CN"/>
              </w:rPr>
            </w:pPr>
          </w:p>
        </w:tc>
        <w:tc>
          <w:tcPr>
            <w:tcW w:w="570"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p>
        </w:tc>
        <w:tc>
          <w:tcPr>
            <w:tcW w:w="645" w:type="dxa"/>
            <w:vMerge w:val="continue"/>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675" w:type="dxa"/>
            <w:gridSpan w:val="2"/>
            <w:vMerge w:val="continue"/>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772" w:type="dxa"/>
            <w:vMerge w:val="continue"/>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2548" w:type="dxa"/>
            <w:gridSpan w:val="2"/>
            <w:vMerge w:val="continue"/>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w:t>
            </w:r>
          </w:p>
        </w:tc>
        <w:tc>
          <w:tcPr>
            <w:tcW w:w="1685" w:type="dxa"/>
            <w:gridSpan w:val="2"/>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泵类、一体化设备等生产设备</w:t>
            </w:r>
          </w:p>
        </w:tc>
        <w:tc>
          <w:tcPr>
            <w:tcW w:w="2205" w:type="dxa"/>
            <w:gridSpan w:val="4"/>
            <w:noWrap/>
            <w:vAlign w:val="center"/>
          </w:tcPr>
          <w:p>
            <w:pPr>
              <w:pStyle w:val="40"/>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70～80dB（A）</w:t>
            </w:r>
          </w:p>
        </w:tc>
        <w:tc>
          <w:tcPr>
            <w:tcW w:w="4875" w:type="dxa"/>
            <w:gridSpan w:val="5"/>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基础减震、设置在密封的房间</w:t>
            </w:r>
          </w:p>
        </w:tc>
        <w:tc>
          <w:tcPr>
            <w:tcW w:w="570"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厂界噪声达标</w:t>
            </w:r>
          </w:p>
        </w:tc>
        <w:tc>
          <w:tcPr>
            <w:tcW w:w="645"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7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w:t>
            </w:r>
          </w:p>
        </w:tc>
        <w:tc>
          <w:tcPr>
            <w:tcW w:w="772"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548" w:type="dxa"/>
            <w:gridSpan w:val="2"/>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2"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685" w:type="dxa"/>
            <w:gridSpan w:val="2"/>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绿化</w:t>
            </w:r>
          </w:p>
        </w:tc>
        <w:tc>
          <w:tcPr>
            <w:tcW w:w="780"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705" w:type="dxa"/>
            <w:gridSpan w:val="2"/>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w:t>
            </w:r>
          </w:p>
        </w:tc>
        <w:tc>
          <w:tcPr>
            <w:tcW w:w="720"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875" w:type="dxa"/>
            <w:gridSpan w:val="5"/>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绿化面积为1000㎡</w:t>
            </w:r>
          </w:p>
        </w:tc>
        <w:tc>
          <w:tcPr>
            <w:tcW w:w="570"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45"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w:t>
            </w:r>
          </w:p>
        </w:tc>
        <w:tc>
          <w:tcPr>
            <w:tcW w:w="675" w:type="dxa"/>
            <w:gridSpan w:val="2"/>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72" w:type="dxa"/>
            <w:noWrap/>
            <w:vAlign w:val="center"/>
          </w:tcPr>
          <w:p>
            <w:pPr>
              <w:pStyle w:val="40"/>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w:t>
            </w:r>
          </w:p>
        </w:tc>
        <w:tc>
          <w:tcPr>
            <w:tcW w:w="2548" w:type="dxa"/>
            <w:gridSpan w:val="2"/>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2" w:type="dxa"/>
            <w:tcBorders>
              <w:left w:val="single" w:color="auto" w:sz="12"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645" w:type="dxa"/>
            <w:gridSpan w:val="4"/>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监测点位</w:t>
            </w:r>
          </w:p>
        </w:tc>
        <w:tc>
          <w:tcPr>
            <w:tcW w:w="5100"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2745"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监测频次</w:t>
            </w:r>
          </w:p>
        </w:tc>
        <w:tc>
          <w:tcPr>
            <w:tcW w:w="1845" w:type="dxa"/>
            <w:gridSpan w:val="3"/>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实施机构</w:t>
            </w:r>
          </w:p>
        </w:tc>
        <w:tc>
          <w:tcPr>
            <w:tcW w:w="1640" w:type="dxa"/>
            <w:tcBorders>
              <w:right w:val="single" w:color="auto" w:sz="12"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监督机构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2" w:type="dxa"/>
            <w:vMerge w:val="restart"/>
            <w:tcBorders>
              <w:left w:val="single" w:color="auto" w:sz="12"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2645"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除臭装置排气筒</w:t>
            </w:r>
          </w:p>
        </w:tc>
        <w:tc>
          <w:tcPr>
            <w:tcW w:w="5100"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氨气、硫化氢、臭气浓度</w:t>
            </w:r>
          </w:p>
        </w:tc>
        <w:tc>
          <w:tcPr>
            <w:tcW w:w="274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每</w:t>
            </w:r>
            <w:r>
              <w:rPr>
                <w:rFonts w:hint="default" w:ascii="Times New Roman" w:hAnsi="Times New Roman" w:eastAsia="宋体" w:cs="Times New Roman"/>
                <w:color w:val="auto"/>
                <w:szCs w:val="21"/>
                <w:lang w:eastAsia="zh-CN"/>
              </w:rPr>
              <w:t>半年</w:t>
            </w:r>
            <w:r>
              <w:rPr>
                <w:rFonts w:hint="default" w:ascii="Times New Roman" w:hAnsi="Times New Roman" w:eastAsia="宋体" w:cs="Times New Roman"/>
                <w:color w:val="auto"/>
                <w:szCs w:val="21"/>
              </w:rPr>
              <w:t>监测一次</w:t>
            </w:r>
          </w:p>
        </w:tc>
        <w:tc>
          <w:tcPr>
            <w:tcW w:w="1845" w:type="dxa"/>
            <w:gridSpan w:val="3"/>
            <w:vMerge w:val="restart"/>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委托当地有环境监测资质的单位</w:t>
            </w:r>
          </w:p>
        </w:tc>
        <w:tc>
          <w:tcPr>
            <w:tcW w:w="1640" w:type="dxa"/>
            <w:vMerge w:val="restart"/>
            <w:tcBorders>
              <w:right w:val="single" w:color="auto" w:sz="12"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当地</w:t>
            </w:r>
          </w:p>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w:t>
            </w:r>
          </w:p>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部门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2" w:type="dxa"/>
            <w:vMerge w:val="continue"/>
            <w:tcBorders>
              <w:left w:val="single" w:color="auto" w:sz="12" w:space="0"/>
            </w:tcBorders>
            <w:vAlign w:val="center"/>
          </w:tcPr>
          <w:p>
            <w:pPr>
              <w:snapToGrid w:val="0"/>
              <w:jc w:val="center"/>
              <w:rPr>
                <w:rFonts w:hint="default" w:ascii="Times New Roman" w:hAnsi="Times New Roman" w:eastAsia="宋体" w:cs="Times New Roman"/>
                <w:color w:val="auto"/>
                <w:szCs w:val="21"/>
              </w:rPr>
            </w:pPr>
          </w:p>
        </w:tc>
        <w:tc>
          <w:tcPr>
            <w:tcW w:w="2645"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eastAsia="zh-CN"/>
              </w:rPr>
              <w:t>厂</w:t>
            </w:r>
            <w:r>
              <w:rPr>
                <w:rFonts w:hint="default" w:ascii="Times New Roman" w:hAnsi="Times New Roman" w:eastAsia="宋体" w:cs="Times New Roman"/>
                <w:color w:val="auto"/>
                <w:sz w:val="21"/>
                <w:szCs w:val="21"/>
              </w:rPr>
              <w:t>界</w:t>
            </w:r>
          </w:p>
        </w:tc>
        <w:tc>
          <w:tcPr>
            <w:tcW w:w="5100"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氨气、硫化氢、臭气浓度</w:t>
            </w:r>
          </w:p>
        </w:tc>
        <w:tc>
          <w:tcPr>
            <w:tcW w:w="274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每</w:t>
            </w:r>
            <w:r>
              <w:rPr>
                <w:rFonts w:hint="default" w:ascii="Times New Roman" w:hAnsi="Times New Roman" w:eastAsia="宋体" w:cs="Times New Roman"/>
                <w:color w:val="auto"/>
                <w:szCs w:val="21"/>
                <w:lang w:eastAsia="zh-CN"/>
              </w:rPr>
              <w:t>半年</w:t>
            </w:r>
            <w:r>
              <w:rPr>
                <w:rFonts w:hint="default" w:ascii="Times New Roman" w:hAnsi="Times New Roman" w:eastAsia="宋体" w:cs="Times New Roman"/>
                <w:color w:val="auto"/>
                <w:szCs w:val="21"/>
              </w:rPr>
              <w:t>监测一次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2" w:type="dxa"/>
            <w:vMerge w:val="continue"/>
            <w:tcBorders>
              <w:left w:val="single" w:color="auto" w:sz="12" w:space="0"/>
            </w:tcBorders>
            <w:vAlign w:val="center"/>
          </w:tcPr>
          <w:p>
            <w:pPr>
              <w:snapToGrid w:val="0"/>
              <w:jc w:val="center"/>
              <w:rPr>
                <w:rFonts w:hint="default" w:ascii="Times New Roman" w:hAnsi="Times New Roman" w:eastAsia="宋体" w:cs="Times New Roman"/>
                <w:color w:val="auto"/>
                <w:szCs w:val="21"/>
              </w:rPr>
            </w:pPr>
          </w:p>
        </w:tc>
        <w:tc>
          <w:tcPr>
            <w:tcW w:w="2645"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站区甲烷体积浓度最高处</w:t>
            </w:r>
          </w:p>
        </w:tc>
        <w:tc>
          <w:tcPr>
            <w:tcW w:w="5100"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甲烷</w:t>
            </w:r>
          </w:p>
        </w:tc>
        <w:tc>
          <w:tcPr>
            <w:tcW w:w="274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每</w:t>
            </w:r>
            <w:r>
              <w:rPr>
                <w:rFonts w:hint="default" w:ascii="Times New Roman" w:hAnsi="Times New Roman" w:eastAsia="宋体" w:cs="Times New Roman"/>
                <w:color w:val="auto"/>
                <w:szCs w:val="21"/>
                <w:lang w:eastAsia="zh-CN"/>
              </w:rPr>
              <w:t>年</w:t>
            </w:r>
            <w:r>
              <w:rPr>
                <w:rFonts w:hint="default" w:ascii="Times New Roman" w:hAnsi="Times New Roman" w:eastAsia="宋体" w:cs="Times New Roman"/>
                <w:color w:val="auto"/>
                <w:szCs w:val="21"/>
              </w:rPr>
              <w:t>监测一次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482" w:type="dxa"/>
            <w:vMerge w:val="restart"/>
            <w:tcBorders>
              <w:left w:val="single" w:color="auto" w:sz="12"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2645" w:type="dxa"/>
            <w:gridSpan w:val="4"/>
            <w:vMerge w:val="restart"/>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废水外排口</w:t>
            </w:r>
          </w:p>
        </w:tc>
        <w:tc>
          <w:tcPr>
            <w:tcW w:w="5100"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PH值、</w:t>
            </w:r>
            <w:r>
              <w:rPr>
                <w:rFonts w:hint="default" w:ascii="Times New Roman" w:hAnsi="Times New Roman" w:eastAsia="宋体" w:cs="Times New Roman"/>
                <w:color w:val="auto"/>
                <w:sz w:val="21"/>
                <w:szCs w:val="21"/>
                <w:lang w:eastAsia="zh-CN"/>
              </w:rPr>
              <w:t>水温、化学需氧量、氨氮、总磷、总氮</w:t>
            </w:r>
          </w:p>
        </w:tc>
        <w:tc>
          <w:tcPr>
            <w:tcW w:w="2745"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自动监测</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l2br w:val="nil"/>
              <w:tr2bl w:val="nil"/>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82" w:type="dxa"/>
            <w:vMerge w:val="continue"/>
            <w:tcBorders>
              <w:left w:val="single" w:color="auto" w:sz="12" w:space="0"/>
            </w:tcBorders>
            <w:vAlign w:val="center"/>
          </w:tcPr>
          <w:p>
            <w:pPr>
              <w:snapToGrid w:val="0"/>
              <w:jc w:val="center"/>
              <w:rPr>
                <w:rFonts w:hint="default" w:ascii="Times New Roman" w:hAnsi="Times New Roman" w:eastAsia="宋体" w:cs="Times New Roman"/>
                <w:color w:val="auto"/>
                <w:szCs w:val="21"/>
              </w:rPr>
            </w:pPr>
          </w:p>
        </w:tc>
        <w:tc>
          <w:tcPr>
            <w:tcW w:w="2645" w:type="dxa"/>
            <w:gridSpan w:val="4"/>
            <w:vMerge w:val="continue"/>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p>
        </w:tc>
        <w:tc>
          <w:tcPr>
            <w:tcW w:w="5100" w:type="dxa"/>
            <w:gridSpan w:val="5"/>
            <w:tcBorders>
              <w:tl2br w:val="nil"/>
              <w:tr2bl w:val="nil"/>
            </w:tcBorders>
            <w:vAlign w:val="center"/>
          </w:tcPr>
          <w:p>
            <w:pPr>
              <w:pStyle w:val="70"/>
              <w:autoSpaceDE w:val="0"/>
              <w:autoSpaceDN w:val="0"/>
              <w:ind w:firstLine="32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悬浮物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色度、五日生化需氧量</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动植物油、石油类、阴离子表面活性剂、粪大肠菌群</w:t>
            </w:r>
          </w:p>
        </w:tc>
        <w:tc>
          <w:tcPr>
            <w:tcW w:w="2745"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每季度一次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l2br w:val="nil"/>
              <w:tr2bl w:val="nil"/>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482" w:type="dxa"/>
            <w:vMerge w:val="continue"/>
            <w:tcBorders>
              <w:left w:val="single" w:color="auto" w:sz="12" w:space="0"/>
            </w:tcBorders>
            <w:vAlign w:val="center"/>
          </w:tcPr>
          <w:p>
            <w:pPr>
              <w:snapToGrid w:val="0"/>
              <w:jc w:val="center"/>
              <w:rPr>
                <w:rFonts w:hint="default" w:ascii="Times New Roman" w:hAnsi="Times New Roman" w:eastAsia="宋体" w:cs="Times New Roman"/>
                <w:color w:val="auto"/>
                <w:szCs w:val="21"/>
              </w:rPr>
            </w:pPr>
          </w:p>
        </w:tc>
        <w:tc>
          <w:tcPr>
            <w:tcW w:w="2645" w:type="dxa"/>
            <w:gridSpan w:val="4"/>
            <w:vMerge w:val="continue"/>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p>
        </w:tc>
        <w:tc>
          <w:tcPr>
            <w:tcW w:w="5100"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总镉、总铬、总汞、总铅、总砷、六价铬</w:t>
            </w:r>
          </w:p>
        </w:tc>
        <w:tc>
          <w:tcPr>
            <w:tcW w:w="2745"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半年</w:t>
            </w:r>
            <w:r>
              <w:rPr>
                <w:rFonts w:hint="default" w:ascii="Times New Roman" w:hAnsi="Times New Roman" w:eastAsia="宋体" w:cs="Times New Roman"/>
                <w:color w:val="auto"/>
                <w:sz w:val="21"/>
                <w:szCs w:val="21"/>
              </w:rPr>
              <w:t>监测一次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l2br w:val="nil"/>
              <w:tr2bl w:val="nil"/>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482" w:type="dxa"/>
            <w:vMerge w:val="continue"/>
            <w:tcBorders>
              <w:left w:val="single" w:color="auto" w:sz="12" w:space="0"/>
            </w:tcBorders>
            <w:vAlign w:val="center"/>
          </w:tcPr>
          <w:p>
            <w:pPr>
              <w:snapToGrid w:val="0"/>
              <w:jc w:val="center"/>
              <w:rPr>
                <w:rFonts w:hint="default" w:ascii="Times New Roman" w:hAnsi="Times New Roman" w:eastAsia="宋体" w:cs="Times New Roman"/>
                <w:color w:val="auto"/>
                <w:szCs w:val="21"/>
              </w:rPr>
            </w:pPr>
          </w:p>
        </w:tc>
        <w:tc>
          <w:tcPr>
            <w:tcW w:w="2645" w:type="dxa"/>
            <w:gridSpan w:val="4"/>
            <w:vMerge w:val="continue"/>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p>
        </w:tc>
        <w:tc>
          <w:tcPr>
            <w:tcW w:w="5100"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烷基汞</w:t>
            </w:r>
          </w:p>
        </w:tc>
        <w:tc>
          <w:tcPr>
            <w:tcW w:w="2745"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半年</w:t>
            </w:r>
            <w:r>
              <w:rPr>
                <w:rFonts w:hint="default" w:ascii="Times New Roman" w:hAnsi="Times New Roman" w:eastAsia="宋体" w:cs="Times New Roman"/>
                <w:color w:val="auto"/>
                <w:sz w:val="21"/>
                <w:szCs w:val="21"/>
              </w:rPr>
              <w:t>监测一次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l2br w:val="nil"/>
              <w:tr2bl w:val="nil"/>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482" w:type="dxa"/>
            <w:vMerge w:val="continue"/>
            <w:tcBorders>
              <w:left w:val="single" w:color="auto" w:sz="12" w:space="0"/>
            </w:tcBorders>
            <w:vAlign w:val="center"/>
          </w:tcPr>
          <w:p>
            <w:pPr>
              <w:snapToGrid w:val="0"/>
              <w:jc w:val="center"/>
              <w:rPr>
                <w:rFonts w:hint="default" w:ascii="Times New Roman" w:hAnsi="Times New Roman" w:eastAsia="宋体" w:cs="Times New Roman"/>
                <w:color w:val="auto"/>
                <w:szCs w:val="21"/>
              </w:rPr>
            </w:pPr>
          </w:p>
        </w:tc>
        <w:tc>
          <w:tcPr>
            <w:tcW w:w="2645" w:type="dxa"/>
            <w:gridSpan w:val="4"/>
            <w:vMerge w:val="continue"/>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p>
        </w:tc>
        <w:tc>
          <w:tcPr>
            <w:tcW w:w="5100"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GB 18918的表3中纳入许可的指标</w:t>
            </w:r>
          </w:p>
        </w:tc>
        <w:tc>
          <w:tcPr>
            <w:tcW w:w="2745" w:type="dxa"/>
            <w:gridSpan w:val="5"/>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每半年监测一次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l2br w:val="nil"/>
              <w:tr2bl w:val="nil"/>
            </w:tcBorders>
            <w:vAlign w:val="center"/>
          </w:tcPr>
          <w:p>
            <w:pPr>
              <w:snapToGrid w:val="0"/>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82" w:type="dxa"/>
            <w:tcBorders>
              <w:left w:val="single" w:color="auto" w:sz="12"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2645" w:type="dxa"/>
            <w:gridSpan w:val="4"/>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站</w:t>
            </w:r>
            <w:r>
              <w:rPr>
                <w:rFonts w:hint="default" w:ascii="Times New Roman" w:hAnsi="Times New Roman" w:eastAsia="宋体" w:cs="Times New Roman"/>
                <w:color w:val="auto"/>
                <w:szCs w:val="21"/>
              </w:rPr>
              <w:t>界</w:t>
            </w:r>
          </w:p>
        </w:tc>
        <w:tc>
          <w:tcPr>
            <w:tcW w:w="5100"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Leq(A)</w:t>
            </w:r>
          </w:p>
        </w:tc>
        <w:tc>
          <w:tcPr>
            <w:tcW w:w="2745" w:type="dxa"/>
            <w:gridSpan w:val="5"/>
            <w:tcBorders>
              <w:tl2br w:val="nil"/>
              <w:tr2bl w:val="nil"/>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每季度监测一次</w:t>
            </w:r>
          </w:p>
        </w:tc>
        <w:tc>
          <w:tcPr>
            <w:tcW w:w="1845" w:type="dxa"/>
            <w:gridSpan w:val="3"/>
            <w:vMerge w:val="continue"/>
            <w:tcBorders>
              <w:tl2br w:val="nil"/>
              <w:tr2bl w:val="nil"/>
            </w:tcBorders>
            <w:vAlign w:val="center"/>
          </w:tcPr>
          <w:p>
            <w:pPr>
              <w:snapToGrid w:val="0"/>
              <w:jc w:val="center"/>
              <w:rPr>
                <w:rFonts w:hint="default" w:ascii="Times New Roman" w:hAnsi="Times New Roman" w:eastAsia="宋体" w:cs="Times New Roman"/>
                <w:color w:val="auto"/>
                <w:szCs w:val="21"/>
              </w:rPr>
            </w:pPr>
          </w:p>
        </w:tc>
        <w:tc>
          <w:tcPr>
            <w:tcW w:w="1640" w:type="dxa"/>
            <w:vMerge w:val="continue"/>
            <w:tcBorders>
              <w:right w:val="single" w:color="auto" w:sz="12" w:space="0"/>
              <w:tl2br w:val="nil"/>
              <w:tr2bl w:val="nil"/>
            </w:tcBorders>
            <w:vAlign w:val="center"/>
          </w:tcPr>
          <w:p>
            <w:pPr>
              <w:snapToGrid w:val="0"/>
              <w:jc w:val="center"/>
              <w:rPr>
                <w:rFonts w:hint="default" w:ascii="Times New Roman" w:hAnsi="Times New Roman" w:eastAsia="宋体" w:cs="Times New Roman"/>
                <w:color w:val="auto"/>
                <w:szCs w:val="21"/>
              </w:rPr>
            </w:pPr>
          </w:p>
        </w:tc>
      </w:tr>
    </w:tbl>
    <w:p>
      <w:pPr>
        <w:pStyle w:val="75"/>
        <w:ind w:firstLine="210"/>
        <w:rPr>
          <w:rFonts w:hint="default" w:ascii="Times New Roman" w:hAnsi="Times New Roman" w:eastAsia="宋体" w:cs="Times New Roman"/>
          <w:color w:val="auto"/>
        </w:rPr>
        <w:sectPr>
          <w:pgSz w:w="16838" w:h="11906" w:orient="landscape"/>
          <w:pgMar w:top="1474" w:right="1361" w:bottom="1474" w:left="1361" w:header="907" w:footer="1134" w:gutter="0"/>
          <w:pgBorders>
            <w:top w:val="none" w:sz="0" w:space="0"/>
            <w:left w:val="none" w:sz="0" w:space="0"/>
            <w:bottom w:val="none" w:sz="0" w:space="0"/>
            <w:right w:val="none" w:sz="0" w:space="0"/>
          </w:pgBorders>
          <w:cols w:space="720" w:num="1"/>
          <w:docGrid w:type="lines" w:linePitch="312" w:charSpace="0"/>
        </w:sectPr>
      </w:pPr>
    </w:p>
    <w:p>
      <w:pPr>
        <w:keepNext/>
        <w:keepLines/>
        <w:widowControl/>
        <w:spacing w:line="480" w:lineRule="exact"/>
        <w:jc w:val="left"/>
        <w:outlineLvl w:val="1"/>
        <w:rPr>
          <w:rFonts w:hint="default" w:ascii="Times New Roman" w:hAnsi="Times New Roman" w:eastAsia="宋体" w:cs="Times New Roman"/>
          <w:b/>
          <w:color w:val="auto"/>
          <w:kern w:val="0"/>
          <w:sz w:val="32"/>
          <w:szCs w:val="32"/>
        </w:rPr>
      </w:pPr>
      <w:r>
        <w:rPr>
          <w:rFonts w:hint="default" w:ascii="Times New Roman" w:hAnsi="Times New Roman" w:eastAsia="宋体" w:cs="Times New Roman"/>
          <w:b/>
          <w:color w:val="auto"/>
          <w:kern w:val="0"/>
          <w:sz w:val="32"/>
          <w:szCs w:val="32"/>
        </w:rPr>
        <w:t>建设项目拟采取的防治措施及预期治理效果</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864"/>
        <w:gridCol w:w="1065"/>
        <w:gridCol w:w="1440"/>
        <w:gridCol w:w="3000"/>
        <w:gridCol w:w="2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tcBorders>
              <w:tl2br w:val="nil"/>
              <w:tr2bl w:val="nil"/>
            </w:tcBorders>
            <w:vAlign w:val="center"/>
          </w:tcPr>
          <w:p>
            <w:pPr>
              <w:ind w:firstLine="210" w:firstLineChars="100"/>
              <w:jc w:val="center"/>
              <w:rPr>
                <w:rFonts w:hint="default" w:ascii="Times New Roman" w:hAnsi="Times New Roman" w:eastAsia="宋体" w:cs="Times New Roman"/>
                <w:color w:val="auto"/>
                <w:spacing w:val="-20"/>
                <w:szCs w:val="21"/>
              </w:rPr>
            </w:pPr>
            <w:r>
              <w:rPr>
                <w:rFonts w:hint="default" w:ascii="Times New Roman" w:hAnsi="Times New Roman" w:eastAsia="宋体" w:cs="Times New Roman"/>
                <w:color w:val="auto"/>
                <w:szCs w:val="21"/>
              </w:rPr>
              <w:pict>
                <v:shape id="_x0000_s2133" o:spid="_x0000_s2133" o:spt="32" type="#_x0000_t32" style="position:absolute;left:0pt;margin-left:-4.5pt;margin-top:1.35pt;height:29.55pt;width:42.3pt;z-index:251670528;mso-width-relative:page;mso-height-relative:page;" filled="f" stroked="t" coordsize="21600,21600">
                  <v:path arrowok="t"/>
                  <v:fill on="f" focussize="0,0"/>
                  <v:stroke color="#000000"/>
                  <v:imagedata o:title=""/>
                  <o:lock v:ext="edit" aspectratio="f"/>
                </v:shape>
              </w:pict>
            </w:r>
            <w:r>
              <w:rPr>
                <w:rFonts w:hint="default" w:ascii="Times New Roman" w:hAnsi="Times New Roman" w:eastAsia="宋体" w:cs="Times New Roman"/>
                <w:color w:val="auto"/>
                <w:spacing w:val="-20"/>
                <w:szCs w:val="21"/>
              </w:rPr>
              <w:t>内容</w:t>
            </w:r>
          </w:p>
          <w:p>
            <w:pPr>
              <w:jc w:val="center"/>
              <w:rPr>
                <w:rFonts w:hint="default" w:ascii="Times New Roman" w:hAnsi="Times New Roman" w:eastAsia="宋体" w:cs="Times New Roman"/>
                <w:color w:val="auto"/>
                <w:spacing w:val="-20"/>
                <w:szCs w:val="21"/>
              </w:rPr>
            </w:pPr>
            <w:r>
              <w:rPr>
                <w:rFonts w:hint="default" w:ascii="Times New Roman" w:hAnsi="Times New Roman" w:eastAsia="宋体" w:cs="Times New Roman"/>
                <w:color w:val="auto"/>
                <w:spacing w:val="-20"/>
                <w:szCs w:val="21"/>
              </w:rPr>
              <w:t>类型</w:t>
            </w:r>
          </w:p>
        </w:tc>
        <w:tc>
          <w:tcPr>
            <w:tcW w:w="106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排放源</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w:t>
            </w:r>
          </w:p>
        </w:tc>
        <w:tc>
          <w:tcPr>
            <w:tcW w:w="144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300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防治措施</w:t>
            </w:r>
          </w:p>
        </w:tc>
        <w:tc>
          <w:tcPr>
            <w:tcW w:w="298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065" w:type="dxa"/>
            <w:tcBorders>
              <w:tl2br w:val="nil"/>
              <w:tr2bl w:val="nil"/>
            </w:tcBorders>
            <w:vAlign w:val="center"/>
          </w:tcPr>
          <w:p>
            <w:pPr>
              <w:widowControl/>
              <w:adjustRightInd w:val="0"/>
              <w:snapToGrid w:val="0"/>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污水处</w:t>
            </w:r>
          </w:p>
          <w:p>
            <w:pPr>
              <w:widowControl/>
              <w:adjustRightInd w:val="0"/>
              <w:snapToGrid w:val="0"/>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理站</w:t>
            </w:r>
          </w:p>
        </w:tc>
        <w:tc>
          <w:tcPr>
            <w:tcW w:w="1440" w:type="dxa"/>
            <w:tcBorders>
              <w:tl2br w:val="nil"/>
              <w:tr2bl w:val="nil"/>
            </w:tcBorders>
            <w:vAlign w:val="center"/>
          </w:tcPr>
          <w:p>
            <w:pPr>
              <w:widowControl/>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、H</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S、臭气浓度</w:t>
            </w:r>
          </w:p>
        </w:tc>
        <w:tc>
          <w:tcPr>
            <w:tcW w:w="3000" w:type="dxa"/>
            <w:tcBorders>
              <w:tl2br w:val="nil"/>
              <w:tr2bl w:val="nil"/>
            </w:tcBorders>
            <w:vAlign w:val="center"/>
          </w:tcPr>
          <w:p>
            <w:pPr>
              <w:widowControl/>
              <w:autoSpaceDE w:val="0"/>
              <w:autoSpaceDN w:val="0"/>
              <w:adjustRightInd w:val="0"/>
              <w:snapToGrid w:val="0"/>
              <w:jc w:val="center"/>
              <w:textAlignment w:val="baseline"/>
              <w:rPr>
                <w:rFonts w:hint="default" w:ascii="Times New Roman" w:hAnsi="Times New Roman" w:eastAsia="宋体" w:cs="Times New Roman"/>
                <w:color w:val="auto"/>
                <w:kern w:val="0"/>
                <w:szCs w:val="21"/>
                <w:u w:color="000000"/>
              </w:rPr>
            </w:pPr>
            <w:r>
              <w:rPr>
                <w:rFonts w:hint="default" w:ascii="Times New Roman" w:hAnsi="Times New Roman" w:eastAsia="宋体" w:cs="Times New Roman"/>
                <w:b w:val="0"/>
                <w:color w:val="auto"/>
                <w:sz w:val="21"/>
                <w:szCs w:val="21"/>
                <w:lang w:eastAsia="zh-CN"/>
              </w:rPr>
              <w:t>综合车间</w:t>
            </w:r>
            <w:r>
              <w:rPr>
                <w:rFonts w:hint="default" w:ascii="Times New Roman" w:hAnsi="Times New Roman" w:eastAsia="宋体" w:cs="Times New Roman"/>
                <w:b w:val="0"/>
                <w:color w:val="auto"/>
                <w:sz w:val="21"/>
                <w:szCs w:val="21"/>
              </w:rPr>
              <w:t>采用</w:t>
            </w:r>
            <w:r>
              <w:rPr>
                <w:rFonts w:hint="default" w:ascii="Times New Roman" w:hAnsi="Times New Roman" w:eastAsia="宋体" w:cs="Times New Roman"/>
                <w:b w:val="0"/>
                <w:color w:val="auto"/>
                <w:sz w:val="21"/>
                <w:szCs w:val="21"/>
                <w:lang w:eastAsia="zh-CN"/>
              </w:rPr>
              <w:t>光氧活性炭一体机（</w:t>
            </w:r>
            <w:r>
              <w:rPr>
                <w:rFonts w:hint="default" w:ascii="Times New Roman" w:hAnsi="Times New Roman" w:eastAsia="宋体" w:cs="Times New Roman"/>
                <w:b w:val="0"/>
                <w:color w:val="auto"/>
                <w:sz w:val="21"/>
                <w:szCs w:val="21"/>
                <w:lang w:val="en-US" w:eastAsia="zh-CN"/>
              </w:rPr>
              <w:t>UV光解+活性炭</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吸附</w:t>
            </w:r>
            <w:r>
              <w:rPr>
                <w:rFonts w:hint="default" w:ascii="Times New Roman" w:hAnsi="Times New Roman" w:eastAsia="宋体" w:cs="Times New Roman"/>
                <w:color w:val="auto"/>
                <w:spacing w:val="0"/>
                <w:kern w:val="2"/>
                <w:sz w:val="21"/>
                <w:szCs w:val="21"/>
                <w:lang w:val="en-US" w:eastAsia="zh-CN" w:bidi="ar-SA"/>
              </w:rPr>
              <w:t>后经15m排气筒排放；格栅机、压滤机等设于建筑物内，设置排风机换气；各类池体均加盖处理；加强日常运行管理、加强绿化、确保满足卫生防护距离的要求</w:t>
            </w:r>
          </w:p>
        </w:tc>
        <w:tc>
          <w:tcPr>
            <w:tcW w:w="2985" w:type="dxa"/>
            <w:tcBorders>
              <w:tl2br w:val="nil"/>
              <w:tr2bl w:val="nil"/>
            </w:tcBorders>
            <w:vAlign w:val="center"/>
          </w:tcPr>
          <w:p>
            <w:pPr>
              <w:autoSpaceDE w:val="0"/>
              <w:autoSpaceDN w:val="0"/>
              <w:adjustRightInd w:val="0"/>
              <w:snapToGrid w:val="0"/>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lang w:eastAsia="zh-CN"/>
              </w:rPr>
              <w:t>《城镇污水处理站污染物排放标准》</w:t>
            </w:r>
            <w:r>
              <w:rPr>
                <w:rFonts w:hint="default" w:ascii="Times New Roman" w:hAnsi="Times New Roman" w:eastAsia="宋体" w:cs="Times New Roman"/>
                <w:color w:val="auto"/>
                <w:szCs w:val="21"/>
              </w:rPr>
              <w:t>（GB18918-2002）表4中的二级标准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06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生活污水应急处理站尾水</w:t>
            </w:r>
          </w:p>
        </w:tc>
        <w:tc>
          <w:tcPr>
            <w:tcW w:w="144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r>
              <w:rPr>
                <w:rFonts w:hint="default" w:ascii="Times New Roman" w:hAnsi="Times New Roman" w:eastAsia="宋体" w:cs="Times New Roman"/>
                <w:color w:val="auto"/>
                <w:kern w:val="0"/>
                <w:szCs w:val="21"/>
              </w:rPr>
              <w:t>、CODcr、NH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-N、TN、TP、SS</w:t>
            </w:r>
          </w:p>
        </w:tc>
        <w:tc>
          <w:tcPr>
            <w:tcW w:w="300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经污水处理系统处理达标后的废水经排污渠排入滹沱河</w:t>
            </w:r>
          </w:p>
        </w:tc>
        <w:tc>
          <w:tcPr>
            <w:tcW w:w="298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CODcr、TP、NH3-N执行</w:t>
            </w:r>
            <w:r>
              <w:rPr>
                <w:rFonts w:hint="default" w:ascii="Times New Roman" w:hAnsi="Times New Roman" w:eastAsia="宋体" w:cs="Times New Roman"/>
                <w:color w:val="auto"/>
                <w:szCs w:val="21"/>
                <w:lang w:val="en-US" w:eastAsia="zh-CN"/>
              </w:rPr>
              <w:t>《山西省地方标准污水综合排放标准》（DB14/1928-2019）中表2</w:t>
            </w:r>
            <w:r>
              <w:rPr>
                <w:rFonts w:hint="default" w:ascii="Times New Roman" w:hAnsi="Times New Roman" w:eastAsia="宋体" w:cs="Times New Roman"/>
                <w:color w:val="auto"/>
                <w:szCs w:val="21"/>
              </w:rPr>
              <w:t>标准，其余指标执行</w:t>
            </w:r>
            <w:r>
              <w:rPr>
                <w:rFonts w:hint="default" w:ascii="Times New Roman" w:hAnsi="Times New Roman" w:eastAsia="宋体" w:cs="Times New Roman"/>
                <w:color w:val="auto"/>
                <w:szCs w:val="21"/>
                <w:lang w:eastAsia="zh-CN"/>
              </w:rPr>
              <w:t>《城镇污水处理站污染物排放标准》</w:t>
            </w:r>
            <w:r>
              <w:rPr>
                <w:rFonts w:hint="default" w:ascii="Times New Roman" w:hAnsi="Times New Roman" w:eastAsia="宋体" w:cs="Times New Roman"/>
                <w:color w:val="auto"/>
                <w:szCs w:val="21"/>
              </w:rPr>
              <w:t>（GB18918-2002）一级A标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废物</w:t>
            </w:r>
          </w:p>
        </w:tc>
        <w:tc>
          <w:tcPr>
            <w:tcW w:w="1065"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r>
              <w:rPr>
                <w:rFonts w:hint="default" w:ascii="Times New Roman" w:hAnsi="Times New Roman" w:eastAsia="宋体" w:cs="Times New Roman"/>
                <w:iCs/>
                <w:color w:val="auto"/>
                <w:szCs w:val="21"/>
              </w:rPr>
              <w:t>职工生活</w:t>
            </w:r>
          </w:p>
        </w:tc>
        <w:tc>
          <w:tcPr>
            <w:tcW w:w="1440"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职工生活垃圾</w:t>
            </w:r>
          </w:p>
        </w:tc>
        <w:tc>
          <w:tcPr>
            <w:tcW w:w="3000" w:type="dxa"/>
            <w:vMerge w:val="restart"/>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r>
              <w:rPr>
                <w:rFonts w:hint="default" w:ascii="Times New Roman" w:hAnsi="Times New Roman" w:eastAsia="宋体" w:cs="Times New Roman"/>
                <w:iCs/>
                <w:color w:val="auto"/>
                <w:szCs w:val="21"/>
              </w:rPr>
              <w:t>经统一收集后委托环卫部门统一处理</w:t>
            </w:r>
          </w:p>
        </w:tc>
        <w:tc>
          <w:tcPr>
            <w:tcW w:w="2985" w:type="dxa"/>
            <w:vMerge w:val="restart"/>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65" w:type="dxa"/>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格栅池</w:t>
            </w:r>
          </w:p>
        </w:tc>
        <w:tc>
          <w:tcPr>
            <w:tcW w:w="1440"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snapToGrid w:val="0"/>
                <w:color w:val="auto"/>
                <w:kern w:val="0"/>
                <w:szCs w:val="21"/>
              </w:rPr>
              <w:t>格栅渣</w:t>
            </w:r>
          </w:p>
        </w:tc>
        <w:tc>
          <w:tcPr>
            <w:tcW w:w="3000" w:type="dxa"/>
            <w:vMerge w:val="continue"/>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p>
        </w:tc>
        <w:tc>
          <w:tcPr>
            <w:tcW w:w="2985" w:type="dxa"/>
            <w:vMerge w:val="continue"/>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bCs/>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65" w:type="dxa"/>
            <w:tcBorders>
              <w:tl2br w:val="nil"/>
              <w:tr2bl w:val="nil"/>
            </w:tcBorders>
            <w:vAlign w:val="center"/>
          </w:tcPr>
          <w:p>
            <w:pPr>
              <w:pStyle w:val="70"/>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污泥池</w:t>
            </w:r>
          </w:p>
        </w:tc>
        <w:tc>
          <w:tcPr>
            <w:tcW w:w="1440"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Cs/>
                <w:color w:val="auto"/>
                <w:szCs w:val="21"/>
              </w:rPr>
              <w:t>污泥</w:t>
            </w:r>
          </w:p>
        </w:tc>
        <w:tc>
          <w:tcPr>
            <w:tcW w:w="3000"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kern w:val="2"/>
                <w:sz w:val="21"/>
                <w:szCs w:val="21"/>
                <w:lang w:val="en-US" w:eastAsia="zh-CN" w:bidi="ar-SA"/>
              </w:rPr>
            </w:pPr>
            <w:r>
              <w:rPr>
                <w:rFonts w:hint="default" w:ascii="Times New Roman" w:hAnsi="Times New Roman" w:eastAsia="宋体" w:cs="Times New Roman"/>
                <w:iCs/>
                <w:color w:val="auto"/>
                <w:szCs w:val="21"/>
              </w:rPr>
              <w:t>污泥脱水采用叠螺式脱水机后</w:t>
            </w:r>
            <w:r>
              <w:rPr>
                <w:rFonts w:hint="default" w:ascii="Times New Roman" w:hAnsi="Times New Roman" w:eastAsia="宋体" w:cs="Times New Roman"/>
                <w:color w:val="auto"/>
                <w:sz w:val="21"/>
                <w:szCs w:val="21"/>
              </w:rPr>
              <w:t>外运做</w:t>
            </w:r>
            <w:r>
              <w:rPr>
                <w:rFonts w:hint="default" w:ascii="Times New Roman" w:hAnsi="Times New Roman" w:eastAsia="宋体" w:cs="Times New Roman"/>
                <w:color w:val="auto"/>
                <w:sz w:val="21"/>
                <w:szCs w:val="21"/>
                <w:lang w:eastAsia="zh-CN"/>
              </w:rPr>
              <w:t>至生活垃圾填埋场</w:t>
            </w:r>
          </w:p>
        </w:tc>
        <w:tc>
          <w:tcPr>
            <w:tcW w:w="2985"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Cs/>
                <w:color w:val="auto"/>
                <w:szCs w:val="21"/>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65" w:type="dxa"/>
            <w:vMerge w:val="restart"/>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sz w:val="21"/>
                <w:szCs w:val="21"/>
                <w:lang w:eastAsia="zh-CN"/>
              </w:rPr>
              <w:t>光氧活性炭一体机</w:t>
            </w:r>
          </w:p>
        </w:tc>
        <w:tc>
          <w:tcPr>
            <w:tcW w:w="1440"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废活性炭</w:t>
            </w:r>
          </w:p>
        </w:tc>
        <w:tc>
          <w:tcPr>
            <w:tcW w:w="3000" w:type="dxa"/>
            <w:vMerge w:val="restart"/>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r>
              <w:rPr>
                <w:rFonts w:hint="default" w:ascii="Times New Roman" w:hAnsi="Times New Roman" w:eastAsia="宋体" w:cs="Times New Roman"/>
                <w:color w:val="auto"/>
                <w:lang w:eastAsia="zh-CN"/>
              </w:rPr>
              <w:t>危废间暂存，定期交由资质单位处置</w:t>
            </w:r>
          </w:p>
        </w:tc>
        <w:tc>
          <w:tcPr>
            <w:tcW w:w="2985"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iCs/>
                <w:color w:val="auto"/>
                <w:szCs w:val="21"/>
              </w:rPr>
              <w:t>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65" w:type="dxa"/>
            <w:vMerge w:val="continue"/>
            <w:tcBorders>
              <w:tl2br w:val="nil"/>
              <w:tr2bl w:val="nil"/>
            </w:tcBorders>
            <w:vAlign w:val="center"/>
          </w:tcPr>
          <w:p>
            <w:pPr>
              <w:pStyle w:val="70"/>
              <w:autoSpaceDE w:val="0"/>
              <w:autoSpaceDN w:val="0"/>
              <w:jc w:val="center"/>
              <w:rPr>
                <w:rFonts w:hint="default" w:ascii="Times New Roman" w:hAnsi="Times New Roman" w:eastAsia="宋体" w:cs="Times New Roman"/>
                <w:color w:val="auto"/>
                <w:sz w:val="21"/>
                <w:szCs w:val="21"/>
                <w:lang w:eastAsia="zh-CN"/>
              </w:rPr>
            </w:pPr>
          </w:p>
        </w:tc>
        <w:tc>
          <w:tcPr>
            <w:tcW w:w="1440" w:type="dxa"/>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eastAsia="zh-CN"/>
              </w:rPr>
              <w:t>废紫外线灯管</w:t>
            </w:r>
          </w:p>
        </w:tc>
        <w:tc>
          <w:tcPr>
            <w:tcW w:w="3000" w:type="dxa"/>
            <w:vMerge w:val="continue"/>
            <w:tcBorders>
              <w:tl2br w:val="nil"/>
              <w:tr2bl w:val="nil"/>
            </w:tcBorders>
            <w:vAlign w:val="center"/>
          </w:tcPr>
          <w:p>
            <w:pPr>
              <w:ind w:left="-105" w:leftChars="-50" w:right="-105" w:rightChars="-50"/>
              <w:jc w:val="center"/>
              <w:textAlignment w:val="baseline"/>
              <w:rPr>
                <w:rFonts w:hint="default" w:ascii="Times New Roman" w:hAnsi="Times New Roman" w:eastAsia="宋体" w:cs="Times New Roman"/>
                <w:iCs/>
                <w:color w:val="auto"/>
                <w:szCs w:val="21"/>
              </w:rPr>
            </w:pPr>
          </w:p>
        </w:tc>
        <w:tc>
          <w:tcPr>
            <w:tcW w:w="298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06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生产设备</w:t>
            </w:r>
          </w:p>
        </w:tc>
        <w:tc>
          <w:tcPr>
            <w:tcW w:w="144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泵类、一体化设备</w:t>
            </w:r>
          </w:p>
        </w:tc>
        <w:tc>
          <w:tcPr>
            <w:tcW w:w="3000"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选用低噪设备、基础减振、厂房隔声和距离衰减</w:t>
            </w:r>
          </w:p>
        </w:tc>
        <w:tc>
          <w:tcPr>
            <w:tcW w:w="298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864"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c>
          <w:tcPr>
            <w:tcW w:w="106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440"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98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jc w:val="center"/>
        </w:trPr>
        <w:tc>
          <w:tcPr>
            <w:tcW w:w="9354"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b/>
                <w:bCs/>
                <w:color w:val="auto"/>
                <w:sz w:val="28"/>
                <w:szCs w:val="36"/>
              </w:rPr>
            </w:pPr>
            <w:r>
              <w:rPr>
                <w:rFonts w:hint="default" w:ascii="Times New Roman" w:hAnsi="Times New Roman" w:eastAsia="宋体" w:cs="Times New Roman"/>
                <w:b/>
                <w:bCs/>
                <w:color w:val="auto"/>
                <w:sz w:val="28"/>
                <w:szCs w:val="36"/>
              </w:rPr>
              <w:t>生态保护措施及预期效果</w:t>
            </w:r>
          </w:p>
          <w:p>
            <w:pPr>
              <w:pStyle w:val="3"/>
              <w:keepNext w:val="0"/>
              <w:keepLines w:val="0"/>
              <w:pageBreakBefore w:val="0"/>
              <w:widowControl w:val="0"/>
              <w:kinsoku/>
              <w:wordWrap/>
              <w:overflowPunct/>
              <w:topLinePunct w:val="0"/>
              <w:autoSpaceDE/>
              <w:autoSpaceDN/>
              <w:bidi w:val="0"/>
              <w:spacing w:after="0" w:line="480" w:lineRule="exact"/>
              <w:ind w:left="0" w:lef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（1）应在</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szCs w:val="32"/>
              </w:rPr>
              <w:t xml:space="preserve">及其四周，加强绿化，以补偿由此而造成的植被减少可能带来的水土流失和生态环境功能破坏。场区绿化用地合理规划，设置绿化隔离林带，结合污水处理厂的特点，宜合理选择绿化树种，以降噪、吸臭、吸收有害气体。 </w:t>
            </w:r>
          </w:p>
          <w:p>
            <w:pPr>
              <w:pStyle w:val="3"/>
              <w:keepNext w:val="0"/>
              <w:keepLines w:val="0"/>
              <w:pageBreakBefore w:val="0"/>
              <w:widowControl w:val="0"/>
              <w:kinsoku/>
              <w:wordWrap/>
              <w:overflowPunct/>
              <w:topLinePunct w:val="0"/>
              <w:autoSpaceDE/>
              <w:autoSpaceDN/>
              <w:bidi w:val="0"/>
              <w:spacing w:after="0" w:line="480" w:lineRule="exact"/>
              <w:ind w:left="0" w:lef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（2）污水处理厂运行产生的污泥经脱水后</w:t>
            </w:r>
            <w:r>
              <w:rPr>
                <w:rFonts w:hint="default" w:ascii="Times New Roman" w:hAnsi="Times New Roman" w:eastAsia="宋体" w:cs="Times New Roman"/>
                <w:color w:val="auto"/>
                <w:sz w:val="24"/>
                <w:szCs w:val="24"/>
              </w:rPr>
              <w:t>外运做</w:t>
            </w:r>
            <w:r>
              <w:rPr>
                <w:rFonts w:hint="default" w:ascii="Times New Roman" w:hAnsi="Times New Roman" w:eastAsia="宋体" w:cs="Times New Roman"/>
                <w:color w:val="auto"/>
                <w:sz w:val="24"/>
                <w:szCs w:val="24"/>
                <w:lang w:eastAsia="zh-CN"/>
              </w:rPr>
              <w:t>至生活垃圾填埋场</w:t>
            </w:r>
            <w:r>
              <w:rPr>
                <w:rFonts w:hint="default" w:ascii="Times New Roman" w:hAnsi="Times New Roman" w:eastAsia="宋体" w:cs="Times New Roman"/>
                <w:color w:val="auto"/>
                <w:sz w:val="24"/>
                <w:szCs w:val="32"/>
              </w:rPr>
              <w:t>。</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32"/>
              </w:rPr>
              <w:t>（3）该工程建设对土壤影响范围较广泛，包括永久占地区、临时占地区以及施工活动的</w:t>
            </w:r>
            <w:r>
              <w:rPr>
                <w:rFonts w:hint="default" w:ascii="Times New Roman" w:hAnsi="Times New Roman" w:eastAsia="宋体" w:cs="Times New Roman"/>
                <w:color w:val="auto"/>
                <w:sz w:val="24"/>
              </w:rPr>
              <w:t>所有区域，主要影响体现在：表层土壤清除，改变地表覆盖层类型和性质；耕地被毁、土壤裸露，改变土壤的坚实度、通透性，影响土壤的机械物理性质；特别是挖出的土方就地堆放，会加重施工地段的水土流失。施工结束后，土壤的功能可逐步恢复，水土流失减轻，恢复程度和周期与扰动程度、恢复措施等有关。</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总之，该项目是一项市政建设的基础工程，它的建成有利于保护生态环境。但在施工过程中对局地生态环境会造成一些影响，这种不利影响是暂时的，随施工的结束而消失。</w:t>
            </w:r>
          </w:p>
          <w:p>
            <w:pPr>
              <w:keepNext w:val="0"/>
              <w:keepLines w:val="0"/>
              <w:pageBreakBefore w:val="0"/>
              <w:widowControl w:val="0"/>
              <w:tabs>
                <w:tab w:val="left" w:pos="0"/>
              </w:tabs>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项目建成后，可以有效处理县城西部污水处理问题，生活污水应急处理站处理后出水排入滹沱河，使滹沱河污染物得到不同程度的削减，滹沱河水质将得到明显改善，对保护下游农作物、水域水质和节约水资源做出贡献，其环境效益和经济效益是显著的。</w:t>
            </w:r>
          </w:p>
          <w:p>
            <w:pPr>
              <w:pStyle w:val="75"/>
              <w:tabs>
                <w:tab w:val="left" w:pos="0"/>
              </w:tabs>
              <w:ind w:firstLine="0" w:firstLineChars="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480"/>
              <w:rPr>
                <w:rFonts w:hint="default" w:ascii="Times New Roman" w:hAnsi="Times New Roman" w:eastAsia="宋体" w:cs="Times New Roman"/>
                <w:color w:val="auto"/>
              </w:rPr>
            </w:pPr>
          </w:p>
          <w:p>
            <w:pPr>
              <w:pStyle w:val="76"/>
              <w:ind w:firstLine="0" w:firstLineChars="0"/>
              <w:rPr>
                <w:rFonts w:hint="default" w:ascii="Times New Roman" w:hAnsi="Times New Roman" w:eastAsia="宋体" w:cs="Times New Roman"/>
                <w:color w:val="auto"/>
              </w:rPr>
            </w:pPr>
          </w:p>
        </w:tc>
      </w:tr>
    </w:tbl>
    <w:p>
      <w:pPr>
        <w:spacing w:line="360" w:lineRule="auto"/>
        <w:rPr>
          <w:rFonts w:hint="default" w:ascii="Times New Roman" w:hAnsi="Times New Roman" w:eastAsia="宋体" w:cs="Times New Roman"/>
          <w:color w:val="auto"/>
          <w:sz w:val="28"/>
        </w:rPr>
        <w:sectPr>
          <w:pgSz w:w="11906" w:h="16838"/>
          <w:pgMar w:top="1361" w:right="1474" w:bottom="1361" w:left="1474" w:header="907" w:footer="1134" w:gutter="0"/>
          <w:pgBorders>
            <w:top w:val="none" w:sz="0" w:space="0"/>
            <w:left w:val="none" w:sz="0" w:space="0"/>
            <w:bottom w:val="none" w:sz="0" w:space="0"/>
            <w:right w:val="none" w:sz="0" w:space="0"/>
          </w:pgBorders>
          <w:cols w:space="720" w:num="1"/>
          <w:docGrid w:type="lines" w:linePitch="312" w:charSpace="0"/>
        </w:sectPr>
      </w:pPr>
    </w:p>
    <w:p>
      <w:pPr>
        <w:keepNext/>
        <w:keepLines/>
        <w:widowControl/>
        <w:spacing w:line="480" w:lineRule="exact"/>
        <w:jc w:val="left"/>
        <w:outlineLvl w:val="1"/>
        <w:rPr>
          <w:rFonts w:hint="default" w:ascii="Times New Roman" w:hAnsi="Times New Roman" w:eastAsia="宋体" w:cs="Times New Roman"/>
          <w:b/>
          <w:color w:val="auto"/>
          <w:kern w:val="0"/>
          <w:sz w:val="32"/>
          <w:szCs w:val="32"/>
        </w:rPr>
      </w:pPr>
      <w:r>
        <w:rPr>
          <w:rFonts w:hint="default" w:ascii="Times New Roman" w:hAnsi="Times New Roman" w:eastAsia="宋体" w:cs="Times New Roman"/>
          <w:b/>
          <w:color w:val="auto"/>
          <w:kern w:val="0"/>
          <w:sz w:val="32"/>
          <w:szCs w:val="32"/>
        </w:rPr>
        <w:t>结论与建议</w:t>
      </w: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Layout w:type="autofit"/>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13501" w:hRule="atLeast"/>
          <w:jc w:val="center"/>
        </w:trPr>
        <w:tc>
          <w:tcPr>
            <w:tcW w:w="9174" w:type="dxa"/>
            <w:tcBorders>
              <w:tl2br w:val="nil"/>
              <w:tr2bl w:val="nil"/>
            </w:tcBorders>
          </w:tcPr>
          <w:p>
            <w:pPr>
              <w:keepNext w:val="0"/>
              <w:keepLines w:val="0"/>
              <w:pageBreakBefore w:val="0"/>
              <w:kinsoku/>
              <w:wordWrap/>
              <w:overflowPunct/>
              <w:topLinePunct w:val="0"/>
              <w:bidi w:val="0"/>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9.1结论</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9.1.1建设项目概况</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z w:val="24"/>
              </w:rPr>
              <w:t>山西省繁峙县3000m³生活污水应急处理站项目位于繁峙县滨河北大道和双拥路交叉口西北角</w:t>
            </w:r>
            <w:r>
              <w:rPr>
                <w:rFonts w:hint="default" w:ascii="Times New Roman" w:hAnsi="Times New Roman" w:eastAsia="宋体" w:cs="Times New Roman"/>
                <w:color w:val="auto"/>
                <w:spacing w:val="6"/>
                <w:sz w:val="24"/>
              </w:rPr>
              <w:t>，项目总投资1451.25万元，</w:t>
            </w:r>
            <w:r>
              <w:rPr>
                <w:rFonts w:hint="default" w:ascii="Times New Roman" w:hAnsi="Times New Roman" w:eastAsia="宋体" w:cs="Times New Roman"/>
                <w:color w:val="auto"/>
                <w:sz w:val="24"/>
              </w:rPr>
              <w:t>占地面积3333㎡</w:t>
            </w:r>
            <w:r>
              <w:rPr>
                <w:rFonts w:hint="default" w:ascii="Times New Roman" w:hAnsi="Times New Roman" w:eastAsia="宋体" w:cs="Times New Roman"/>
                <w:bCs/>
                <w:color w:val="auto"/>
                <w:sz w:val="24"/>
              </w:rPr>
              <w:t>。项目建成后</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pacing w:val="4"/>
                <w:sz w:val="24"/>
              </w:rPr>
              <w:t>处理规模为3000m³/d，采用</w:t>
            </w:r>
            <w:r>
              <w:rPr>
                <w:rFonts w:hint="default" w:ascii="Times New Roman" w:hAnsi="Times New Roman" w:eastAsia="宋体" w:cs="Times New Roman"/>
                <w:color w:val="auto"/>
                <w:spacing w:val="4"/>
                <w:sz w:val="24"/>
                <w:szCs w:val="24"/>
                <w:lang w:eastAsia="zh-CN"/>
              </w:rPr>
              <w:t>“</w:t>
            </w:r>
            <w:r>
              <w:rPr>
                <w:rFonts w:hint="default" w:ascii="Times New Roman" w:hAnsi="Times New Roman" w:eastAsia="宋体" w:cs="Times New Roman"/>
                <w:color w:val="auto"/>
                <w:spacing w:val="4"/>
                <w:sz w:val="24"/>
                <w:szCs w:val="24"/>
              </w:rPr>
              <w:t>A</w:t>
            </w:r>
            <w:r>
              <w:rPr>
                <w:rFonts w:hint="default" w:ascii="Times New Roman" w:hAnsi="Times New Roman" w:eastAsia="宋体" w:cs="Times New Roman"/>
                <w:color w:val="auto"/>
                <w:spacing w:val="4"/>
                <w:sz w:val="24"/>
                <w:szCs w:val="24"/>
                <w:vertAlign w:val="superscript"/>
                <w:lang w:val="en-US" w:eastAsia="zh-CN"/>
              </w:rPr>
              <w:t>2</w:t>
            </w:r>
            <w:r>
              <w:rPr>
                <w:rFonts w:hint="default" w:ascii="Times New Roman" w:hAnsi="Times New Roman" w:eastAsia="宋体" w:cs="Times New Roman"/>
                <w:color w:val="auto"/>
                <w:spacing w:val="4"/>
                <w:sz w:val="24"/>
                <w:szCs w:val="24"/>
              </w:rPr>
              <w:t>/O</w:t>
            </w:r>
            <w:r>
              <w:rPr>
                <w:rFonts w:hint="default" w:ascii="Times New Roman" w:hAnsi="Times New Roman" w:eastAsia="宋体" w:cs="Times New Roman"/>
                <w:color w:val="auto"/>
                <w:spacing w:val="4"/>
                <w:sz w:val="24"/>
                <w:szCs w:val="24"/>
                <w:lang w:val="en-US" w:eastAsia="zh-CN"/>
              </w:rPr>
              <w:t>+MBR</w:t>
            </w:r>
            <w:r>
              <w:rPr>
                <w:rFonts w:hint="default" w:ascii="Times New Roman" w:hAnsi="Times New Roman" w:eastAsia="宋体" w:cs="Times New Roman"/>
                <w:color w:val="auto"/>
                <w:spacing w:val="4"/>
                <w:sz w:val="24"/>
                <w:szCs w:val="24"/>
                <w:lang w:eastAsia="zh-CN"/>
              </w:rPr>
              <w:t>”</w:t>
            </w:r>
            <w:r>
              <w:rPr>
                <w:rFonts w:hint="default" w:ascii="Times New Roman" w:hAnsi="Times New Roman" w:eastAsia="宋体" w:cs="Times New Roman"/>
                <w:color w:val="auto"/>
                <w:spacing w:val="4"/>
                <w:sz w:val="24"/>
              </w:rPr>
              <w:t>处理工艺。</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9.1.2环境质量现状</w:t>
            </w:r>
          </w:p>
          <w:p>
            <w:pPr>
              <w:keepNext w:val="0"/>
              <w:keepLines w:val="0"/>
              <w:pageBreakBefore w:val="0"/>
              <w:widowControl/>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（1）环境空气质量现状</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根据山西省大气污染防治工作领导组办公室“关于2019年度全省各县（市、区）环境空气质量状况的通报”（晋气防办函〔2019〕11号），2019年</w:t>
            </w:r>
            <w:r>
              <w:rPr>
                <w:rFonts w:hint="default" w:ascii="Times New Roman" w:hAnsi="Times New Roman" w:eastAsia="宋体" w:cs="Times New Roman"/>
                <w:color w:val="auto"/>
                <w:spacing w:val="4"/>
                <w:sz w:val="24"/>
              </w:rPr>
              <w:t>繁峙县</w:t>
            </w:r>
            <w:r>
              <w:rPr>
                <w:rFonts w:hint="default" w:ascii="Times New Roman" w:hAnsi="Times New Roman" w:eastAsia="宋体" w:cs="Times New Roman"/>
                <w:color w:val="auto"/>
                <w:sz w:val="24"/>
              </w:rPr>
              <w:t>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年平均浓度86µg/m³，NO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年平均浓度32µg/m³，PM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年均浓度104µg/m³，PM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年均浓度47µg/m³，臭氧-8h百分位浓度154µg/m³，一氧化碳百分位浓度2.6mg/m³，SO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浓度不满足《环境空气质量标准》（GB3095-2012）二级标准。</w:t>
            </w:r>
            <w:r>
              <w:rPr>
                <w:rFonts w:hint="default" w:ascii="Times New Roman" w:hAnsi="Times New Roman" w:eastAsia="宋体" w:cs="Times New Roman"/>
                <w:color w:val="auto"/>
                <w:sz w:val="24"/>
                <w:lang w:eastAsia="zh-CN"/>
              </w:rPr>
              <w:t>由</w:t>
            </w:r>
            <w:r>
              <w:rPr>
                <w:rFonts w:hint="default" w:ascii="Times New Roman" w:hAnsi="Times New Roman" w:eastAsia="宋体" w:cs="Times New Roman"/>
                <w:color w:val="auto"/>
                <w:sz w:val="24"/>
                <w:lang w:val="en-US" w:eastAsia="zh-CN"/>
              </w:rPr>
              <w:t>H</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S、NH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的现状监测结果可知，本项目所在地的H</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S、NH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满足《环境影响评价技术导则 大气》（HJ2.2-2018）附录D中其他污染物空气质量浓度参考限值。随着山西省打赢蓝天保卫战2020年决战计划的实施，区域环境空气质量将得到有效改善。</w:t>
            </w:r>
          </w:p>
          <w:p>
            <w:pPr>
              <w:keepNext w:val="0"/>
              <w:keepLines w:val="0"/>
              <w:pageBreakBefore w:val="0"/>
              <w:widowControl/>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（2）水环境质量现状</w:t>
            </w:r>
          </w:p>
          <w:p>
            <w:pPr>
              <w:keepNext w:val="0"/>
              <w:keepLines w:val="0"/>
              <w:pageBreakBefore w:val="0"/>
              <w:widowControl/>
              <w:tabs>
                <w:tab w:val="left" w:pos="3927"/>
              </w:tabs>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①地表水环境质量现状</w:t>
            </w:r>
          </w:p>
          <w:p>
            <w:pPr>
              <w:keepNext w:val="0"/>
              <w:keepLines w:val="0"/>
              <w:pageBreakBefore w:val="0"/>
              <w:widowControl/>
              <w:tabs>
                <w:tab w:val="left" w:pos="3927"/>
              </w:tabs>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距离本项目最近的地表水为滹沱河，位于本项目南侧约</w:t>
            </w:r>
            <w:r>
              <w:rPr>
                <w:rFonts w:hint="default" w:ascii="Times New Roman" w:hAnsi="Times New Roman" w:eastAsia="宋体" w:cs="Times New Roman"/>
                <w:color w:val="auto"/>
                <w:sz w:val="24"/>
                <w:lang w:val="en-US" w:eastAsia="zh-CN"/>
              </w:rPr>
              <w:t>100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根据</w:t>
            </w:r>
            <w:r>
              <w:rPr>
                <w:rFonts w:hint="default" w:ascii="Times New Roman" w:hAnsi="Times New Roman" w:eastAsia="宋体" w:cs="Times New Roman"/>
                <w:b w:val="0"/>
                <w:bCs w:val="0"/>
                <w:color w:val="auto"/>
                <w:sz w:val="24"/>
                <w:lang w:val="en-US" w:eastAsia="zh-CN"/>
              </w:rPr>
              <w:t>山西省生态环境厅地表水环境质量报告，</w:t>
            </w:r>
            <w:r>
              <w:rPr>
                <w:rFonts w:hint="default" w:ascii="Times New Roman" w:hAnsi="Times New Roman" w:eastAsia="宋体" w:cs="Times New Roman"/>
                <w:color w:val="auto"/>
                <w:sz w:val="24"/>
                <w:szCs w:val="24"/>
                <w:lang w:val="en-US" w:eastAsia="zh-CN"/>
              </w:rPr>
              <w:t>2018年-2020年地表水环境质量标准除代县桥2018年2月NH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-N超标、2018年12月COD超标、2019年6月COD超标、2020年1月NH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-N超标外，其余均符合相应断面的目标水质要求；</w:t>
            </w:r>
            <w:r>
              <w:rPr>
                <w:rFonts w:hint="default" w:ascii="Times New Roman" w:hAnsi="Times New Roman" w:eastAsia="宋体" w:cs="Times New Roman"/>
                <w:color w:val="auto"/>
                <w:sz w:val="24"/>
              </w:rPr>
              <w:t>由</w:t>
            </w:r>
            <w:r>
              <w:rPr>
                <w:rFonts w:hint="default" w:ascii="Times New Roman" w:hAnsi="Times New Roman" w:eastAsia="宋体" w:cs="Times New Roman"/>
                <w:color w:val="auto"/>
                <w:sz w:val="24"/>
                <w:lang w:eastAsia="zh-CN"/>
              </w:rPr>
              <w:t>本次</w:t>
            </w:r>
            <w:r>
              <w:rPr>
                <w:rFonts w:hint="default" w:ascii="Times New Roman" w:hAnsi="Times New Roman" w:eastAsia="宋体" w:cs="Times New Roman"/>
                <w:color w:val="auto"/>
                <w:sz w:val="24"/>
              </w:rPr>
              <w:t>地表水现状监测结果可知</w:t>
            </w:r>
            <w:r>
              <w:rPr>
                <w:rFonts w:hint="default" w:ascii="Times New Roman" w:hAnsi="Times New Roman" w:eastAsia="宋体" w:cs="Times New Roman"/>
                <w:color w:val="auto"/>
                <w:sz w:val="24"/>
                <w:lang w:eastAsia="zh-CN"/>
              </w:rPr>
              <w:t>监测断面</w:t>
            </w:r>
            <w:r>
              <w:rPr>
                <w:rFonts w:hint="default" w:ascii="Times New Roman" w:hAnsi="Times New Roman" w:eastAsia="宋体" w:cs="Times New Roman"/>
                <w:color w:val="auto"/>
                <w:sz w:val="24"/>
              </w:rPr>
              <w:t>水质均满足《地表水环境质量标准》（GB3838-2002）中Ⅲ类标准值。</w:t>
            </w:r>
          </w:p>
          <w:p>
            <w:pPr>
              <w:keepNext w:val="0"/>
              <w:keepLines w:val="0"/>
              <w:pageBreakBefore w:val="0"/>
              <w:widowControl/>
              <w:tabs>
                <w:tab w:val="left" w:pos="3927"/>
              </w:tabs>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②地下水环境质量现状</w:t>
            </w:r>
          </w:p>
          <w:p>
            <w:pPr>
              <w:keepNext w:val="0"/>
              <w:keepLines w:val="0"/>
              <w:pageBreakBefore w:val="0"/>
              <w:widowControl/>
              <w:tabs>
                <w:tab w:val="left" w:pos="3927"/>
              </w:tabs>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建设单位</w:t>
            </w:r>
            <w:r>
              <w:rPr>
                <w:rFonts w:hint="default" w:ascii="Times New Roman" w:hAnsi="Times New Roman" w:eastAsia="宋体" w:cs="Times New Roman"/>
                <w:color w:val="auto"/>
                <w:sz w:val="24"/>
              </w:rPr>
              <w:t>委托杭州普洛赛斯检测科技有限公司对本项目地下水环境质量现状进行了监测，监测时间2020年4月10日，共设置3个地下水水质监测点及6个水位监测点，由监测结果可知，各监测点水质均满足《地下水质量标准》（GB/T14848-2017）Ⅲ类标准要求，表明项目区域地下水水质较好。</w:t>
            </w:r>
          </w:p>
          <w:p>
            <w:pPr>
              <w:keepNext w:val="0"/>
              <w:keepLines w:val="0"/>
              <w:pageBreakBefore w:val="0"/>
              <w:widowControl/>
              <w:tabs>
                <w:tab w:val="left" w:pos="3927"/>
              </w:tabs>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（3）声环境质量现状</w:t>
            </w:r>
          </w:p>
          <w:p>
            <w:pPr>
              <w:keepNext w:val="0"/>
              <w:keepLines w:val="0"/>
              <w:pageBreakBefore w:val="0"/>
              <w:widowControl/>
              <w:kinsoku/>
              <w:wordWrap/>
              <w:overflowPunct/>
              <w:topLinePunct w:val="0"/>
              <w:bidi w:val="0"/>
              <w:adjustRightInd w:val="0"/>
              <w:snapToGrid w:val="0"/>
              <w:spacing w:line="480" w:lineRule="exact"/>
              <w:ind w:firstLine="480" w:firstLineChars="200"/>
              <w:jc w:val="left"/>
              <w:textAlignment w:val="baseline"/>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为了了解项目区域声环境质量现状，</w:t>
            </w:r>
            <w:r>
              <w:rPr>
                <w:rFonts w:hint="default" w:ascii="Times New Roman" w:hAnsi="Times New Roman" w:eastAsia="宋体" w:cs="Times New Roman"/>
                <w:color w:val="auto"/>
                <w:sz w:val="24"/>
                <w:lang w:eastAsia="zh-CN"/>
              </w:rPr>
              <w:t>建设单位</w:t>
            </w:r>
            <w:r>
              <w:rPr>
                <w:rFonts w:hint="default" w:ascii="Times New Roman" w:hAnsi="Times New Roman" w:eastAsia="宋体" w:cs="Times New Roman"/>
                <w:color w:val="auto"/>
                <w:sz w:val="24"/>
              </w:rPr>
              <w:t>委托杭州普洛赛斯检测科技有限公司对本项目噪声进行了实测。监测时间为2020年3月20日。</w:t>
            </w:r>
            <w:r>
              <w:rPr>
                <w:rFonts w:hint="default" w:ascii="Times New Roman" w:hAnsi="Times New Roman" w:eastAsia="宋体" w:cs="Times New Roman"/>
                <w:color w:val="auto"/>
                <w:sz w:val="24"/>
                <w:lang w:eastAsia="zh-CN"/>
              </w:rPr>
              <w:t>站</w:t>
            </w:r>
            <w:r>
              <w:rPr>
                <w:rFonts w:hint="default" w:ascii="Times New Roman" w:hAnsi="Times New Roman" w:eastAsia="宋体" w:cs="Times New Roman"/>
                <w:color w:val="auto"/>
                <w:sz w:val="24"/>
              </w:rPr>
              <w:t>界四周昼间噪声值在49.5~52.1dB(A)之间，夜间噪声值在42.0~44.6dB(A)之间，</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rPr>
              <w:t>四周各监测点位的监测值均满足《声环境质量标准》（GB3096-2008）中2类标准要求；敏感点笔峰村昼间噪声值为50.5dB（A），夜间噪声值为43.9dB（A），满足《声环境质量标准》（GB3096-2008）中1类标准要求。</w:t>
            </w:r>
          </w:p>
          <w:p>
            <w:pPr>
              <w:keepNext w:val="0"/>
              <w:keepLines w:val="0"/>
              <w:pageBreakBefore w:val="0"/>
              <w:widowControl/>
              <w:tabs>
                <w:tab w:val="left" w:pos="3927"/>
              </w:tabs>
              <w:kinsoku/>
              <w:wordWrap/>
              <w:overflowPunct/>
              <w:topLinePunct w:val="0"/>
              <w:bidi w:val="0"/>
              <w:spacing w:line="480" w:lineRule="exact"/>
              <w:ind w:firstLine="480" w:firstLineChars="200"/>
              <w:jc w:val="left"/>
              <w:textAlignment w:val="baseline"/>
              <w:rPr>
                <w:rFonts w:hint="default" w:ascii="Times New Roman" w:hAnsi="Times New Roman" w:eastAsia="宋体" w:cs="Times New Roman"/>
                <w:color w:val="auto"/>
                <w:kern w:val="0"/>
                <w:sz w:val="24"/>
                <w:u w:color="000000"/>
              </w:rPr>
            </w:pPr>
            <w:r>
              <w:rPr>
                <w:rFonts w:hint="default" w:ascii="Times New Roman" w:hAnsi="Times New Roman" w:eastAsia="宋体" w:cs="Times New Roman"/>
                <w:color w:val="auto"/>
                <w:kern w:val="0"/>
                <w:sz w:val="24"/>
                <w:u w:color="000000"/>
              </w:rPr>
              <w:t>（4）生态环境</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周围主要以农田生态系统、城镇生态系统及路际生态系统为主。农田生态系统农作物主要有蔬菜、果树、小麦为主；城镇生态系统中生产、生活建筑、绿地和非农用地有序排列；路际生态系统中各级别道路和道路防护林贯穿于各类生态系统中，项目周围植被类型比较单一，主要植被为人工种植的小麦、蔬菜、果树，无天然林及珍稀植被，区域内生物多样性程度较低，无需要特殊保护的动植物资源。</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（5）土壤环境</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本项目所有监测点位所有监测项目均达到《土壤环境质量建设用地土壤污染风险管控标准》（试行）（GB36600-2018）中第一类用地筛选值，锌达到《土壤环境质量 农用地土壤污染风险管控标准（试行）》（GB 15618-2018）中土壤污染风险筛选值。项目占地范围内土壤环境质量良好。</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9.1.3污染物排放情况</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本工程污染源经治理后，仅有少量的恶臭气体排放，可以满足</w:t>
            </w:r>
            <w:r>
              <w:rPr>
                <w:rFonts w:hint="default" w:ascii="Times New Roman" w:hAnsi="Times New Roman" w:eastAsia="宋体" w:cs="Times New Roman"/>
                <w:color w:val="auto"/>
                <w:sz w:val="24"/>
                <w:lang w:eastAsia="zh-CN"/>
              </w:rPr>
              <w:t>《城镇污水处理站污染物排放标准》</w:t>
            </w:r>
            <w:r>
              <w:rPr>
                <w:rFonts w:hint="default" w:ascii="Times New Roman" w:hAnsi="Times New Roman" w:eastAsia="宋体" w:cs="Times New Roman"/>
                <w:color w:val="auto"/>
                <w:sz w:val="24"/>
              </w:rPr>
              <w:t>（GB18918-2002）表4中的二级标准。</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本项目加药系统用水全部进入</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color w:val="auto"/>
                <w:sz w:val="24"/>
                <w:lang w:eastAsia="zh-CN"/>
              </w:rPr>
              <w:t>的污水处理系统</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0"/>
                <w:sz w:val="24"/>
                <w:lang w:eastAsia="zh-CN"/>
              </w:rPr>
              <w:t>站内</w:t>
            </w:r>
            <w:r>
              <w:rPr>
                <w:rFonts w:hint="default" w:ascii="Times New Roman" w:hAnsi="Times New Roman" w:eastAsia="宋体" w:cs="Times New Roman"/>
                <w:color w:val="auto"/>
                <w:sz w:val="24"/>
              </w:rPr>
              <w:t>生活污水与来水一并排入项目污水处理系统处理。经污水处理系统处理达标后的废水经排污渠排入滹沱河。</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项目噪声经厂房阻隔，距离衰减后，厂界噪声贡献值为达到《工业企业厂界环境噪声排放标准》（GB12348-2008）中的2类标准，对区域声环境影响不明显。</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本项目生产过程中产生的格栅渣、职工生活垃圾委托环卫部门统一处理</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污泥经叠螺式脱水机后</w:t>
            </w:r>
            <w:r>
              <w:rPr>
                <w:rFonts w:hint="default" w:ascii="Times New Roman" w:hAnsi="Times New Roman" w:eastAsia="宋体" w:cs="Times New Roman"/>
                <w:color w:val="auto"/>
                <w:sz w:val="24"/>
                <w:szCs w:val="24"/>
              </w:rPr>
              <w:t>外运做</w:t>
            </w:r>
            <w:r>
              <w:rPr>
                <w:rFonts w:hint="default" w:ascii="Times New Roman" w:hAnsi="Times New Roman" w:eastAsia="宋体" w:cs="Times New Roman"/>
                <w:color w:val="auto"/>
                <w:sz w:val="24"/>
                <w:szCs w:val="24"/>
                <w:lang w:eastAsia="zh-CN"/>
              </w:rPr>
              <w:t>至生活垃圾填埋场</w:t>
            </w:r>
            <w:r>
              <w:rPr>
                <w:rFonts w:hint="default" w:ascii="Times New Roman" w:hAnsi="Times New Roman" w:eastAsia="宋体" w:cs="Times New Roman"/>
                <w:color w:val="auto"/>
                <w:kern w:val="0"/>
                <w:sz w:val="24"/>
                <w:lang w:eastAsia="zh-CN"/>
              </w:rPr>
              <w:t>；废活性炭、废紫外线灯管危废间暂存，定期交由资质单位处置，</w:t>
            </w:r>
            <w:r>
              <w:rPr>
                <w:rFonts w:hint="default" w:ascii="Times New Roman" w:hAnsi="Times New Roman" w:eastAsia="宋体" w:cs="Times New Roman"/>
                <w:color w:val="auto"/>
                <w:kern w:val="0"/>
                <w:sz w:val="24"/>
              </w:rPr>
              <w:t>基本不会对当地环境造成污染影响。</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9.1.4主要环境影响</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9.1.4.1环境空气</w:t>
            </w:r>
          </w:p>
          <w:p>
            <w:pPr>
              <w:keepNext w:val="0"/>
              <w:keepLines w:val="0"/>
              <w:pageBreakBefore w:val="0"/>
              <w:kinsoku/>
              <w:wordWrap/>
              <w:overflowPunct/>
              <w:topLinePunct w:val="0"/>
              <w:bidi w:val="0"/>
              <w:spacing w:line="480" w:lineRule="exact"/>
              <w:ind w:firstLine="504" w:firstLineChars="200"/>
              <w:jc w:val="left"/>
              <w:rPr>
                <w:rFonts w:hint="default" w:ascii="Times New Roman" w:hAnsi="Times New Roman" w:eastAsia="宋体" w:cs="Times New Roman"/>
                <w:color w:val="auto"/>
                <w:spacing w:val="6"/>
                <w:sz w:val="24"/>
                <w:lang w:eastAsia="zh-CN"/>
              </w:rPr>
            </w:pPr>
            <w:r>
              <w:rPr>
                <w:rFonts w:hint="default" w:ascii="Times New Roman" w:hAnsi="Times New Roman" w:eastAsia="宋体" w:cs="Times New Roman"/>
                <w:color w:val="auto"/>
                <w:spacing w:val="6"/>
                <w:sz w:val="24"/>
              </w:rPr>
              <w:t>本项目排放的大气污染物主要为恶臭</w:t>
            </w:r>
            <w:r>
              <w:rPr>
                <w:rFonts w:hint="default" w:ascii="Times New Roman" w:hAnsi="Times New Roman" w:eastAsia="宋体" w:cs="Times New Roman"/>
                <w:color w:val="auto"/>
                <w:spacing w:val="6"/>
                <w:sz w:val="24"/>
                <w:lang w:eastAsia="zh-CN"/>
              </w:rPr>
              <w:t>，经预测可知，恶臭经处理后对周围环境影响较小，可以达标排放。</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9.1.4.2</w:t>
            </w:r>
            <w:r>
              <w:rPr>
                <w:rFonts w:hint="default" w:ascii="Times New Roman" w:hAnsi="Times New Roman" w:eastAsia="宋体" w:cs="Times New Roman"/>
                <w:b/>
                <w:color w:val="auto"/>
                <w:sz w:val="24"/>
                <w:lang w:eastAsia="zh-CN"/>
              </w:rPr>
              <w:t>水环境</w:t>
            </w:r>
          </w:p>
          <w:p>
            <w:pPr>
              <w:keepNext w:val="0"/>
              <w:keepLines w:val="0"/>
              <w:pageBreakBefore w:val="0"/>
              <w:kinsoku/>
              <w:wordWrap/>
              <w:overflowPunct/>
              <w:topLinePunct w:val="0"/>
              <w:autoSpaceDE w:val="0"/>
              <w:autoSpaceDN w:val="0"/>
              <w:bidi w:val="0"/>
              <w:spacing w:line="480" w:lineRule="exact"/>
              <w:ind w:firstLine="480" w:firstLineChars="200"/>
              <w:jc w:val="left"/>
              <w:rPr>
                <w:rFonts w:hint="default" w:ascii="Times New Roman" w:hAnsi="Times New Roman" w:eastAsia="宋体" w:cs="Times New Roman"/>
                <w:b/>
                <w:color w:val="auto"/>
                <w:sz w:val="24"/>
              </w:rPr>
            </w:pPr>
            <w:r>
              <w:rPr>
                <w:rStyle w:val="91"/>
                <w:rFonts w:hint="default" w:ascii="Times New Roman" w:hAnsi="Times New Roman" w:eastAsia="宋体" w:cs="Times New Roman"/>
                <w:color w:val="auto"/>
                <w:kern w:val="2"/>
                <w:sz w:val="24"/>
                <w:szCs w:val="24"/>
                <w:lang w:eastAsia="zh-CN"/>
              </w:rPr>
              <w:t>本项目</w:t>
            </w:r>
            <w:r>
              <w:rPr>
                <w:rFonts w:hint="default" w:ascii="Times New Roman" w:hAnsi="Times New Roman" w:eastAsia="宋体" w:cs="Times New Roman"/>
                <w:color w:val="auto"/>
                <w:kern w:val="0"/>
                <w:sz w:val="24"/>
                <w:lang w:eastAsia="zh-CN"/>
              </w:rPr>
              <w:t>站内</w:t>
            </w:r>
            <w:r>
              <w:rPr>
                <w:rStyle w:val="91"/>
                <w:rFonts w:hint="default" w:ascii="Times New Roman" w:hAnsi="Times New Roman" w:eastAsia="宋体" w:cs="Times New Roman"/>
                <w:color w:val="auto"/>
                <w:kern w:val="2"/>
                <w:sz w:val="24"/>
                <w:szCs w:val="24"/>
              </w:rPr>
              <w:t>生活污水</w:t>
            </w:r>
            <w:r>
              <w:rPr>
                <w:rStyle w:val="91"/>
                <w:rFonts w:hint="default" w:ascii="Times New Roman" w:hAnsi="Times New Roman" w:eastAsia="宋体" w:cs="Times New Roman"/>
                <w:color w:val="auto"/>
                <w:kern w:val="2"/>
                <w:sz w:val="24"/>
                <w:szCs w:val="24"/>
                <w:lang w:eastAsia="zh-CN"/>
              </w:rPr>
              <w:t>进入</w:t>
            </w:r>
            <w:r>
              <w:rPr>
                <w:rStyle w:val="91"/>
                <w:rFonts w:hint="default" w:ascii="Times New Roman" w:hAnsi="Times New Roman" w:eastAsia="宋体" w:cs="Times New Roman"/>
                <w:color w:val="auto"/>
                <w:kern w:val="2"/>
                <w:sz w:val="24"/>
                <w:szCs w:val="24"/>
              </w:rPr>
              <w:t>项目污水处理系统处理。经污水处理系统处理达标后的废水经排污渠排入滹沱河</w:t>
            </w:r>
            <w:r>
              <w:rPr>
                <w:rStyle w:val="91"/>
                <w:rFonts w:hint="default" w:ascii="Times New Roman" w:hAnsi="Times New Roman" w:eastAsia="宋体" w:cs="Times New Roman"/>
                <w:color w:val="auto"/>
                <w:kern w:val="2"/>
                <w:sz w:val="24"/>
                <w:szCs w:val="24"/>
                <w:lang w:eastAsia="zh-CN"/>
              </w:rPr>
              <w:t>，可以有效改善地表水水体水质</w:t>
            </w:r>
            <w:r>
              <w:rPr>
                <w:rStyle w:val="91"/>
                <w:rFonts w:hint="default" w:ascii="Times New Roman" w:hAnsi="Times New Roman" w:eastAsia="宋体" w:cs="Times New Roman"/>
                <w:color w:val="auto"/>
                <w:kern w:val="2"/>
                <w:sz w:val="24"/>
                <w:szCs w:val="24"/>
              </w:rPr>
              <w:t>。</w:t>
            </w:r>
            <w:r>
              <w:rPr>
                <w:rStyle w:val="91"/>
                <w:rFonts w:hint="default" w:ascii="Times New Roman" w:hAnsi="Times New Roman" w:eastAsia="宋体" w:cs="Times New Roman"/>
                <w:color w:val="auto"/>
                <w:kern w:val="2"/>
                <w:sz w:val="24"/>
                <w:szCs w:val="24"/>
                <w:lang w:eastAsia="zh-CN"/>
              </w:rPr>
              <w:t>污水处理设施的</w:t>
            </w:r>
            <w:r>
              <w:rPr>
                <w:rFonts w:hint="default" w:ascii="Times New Roman" w:hAnsi="Times New Roman" w:eastAsia="宋体" w:cs="Times New Roman"/>
                <w:bCs/>
                <w:color w:val="auto"/>
                <w:sz w:val="24"/>
                <w:szCs w:val="24"/>
              </w:rPr>
              <w:t>各类水池均做防渗处置，不会对</w:t>
            </w:r>
            <w:r>
              <w:rPr>
                <w:rFonts w:hint="default" w:ascii="Times New Roman" w:hAnsi="Times New Roman" w:eastAsia="宋体" w:cs="Times New Roman"/>
                <w:color w:val="auto"/>
                <w:sz w:val="24"/>
                <w:szCs w:val="32"/>
                <w:lang w:eastAsia="zh-CN"/>
              </w:rPr>
              <w:t>站区</w:t>
            </w:r>
            <w:r>
              <w:rPr>
                <w:rFonts w:hint="default" w:ascii="Times New Roman" w:hAnsi="Times New Roman" w:eastAsia="宋体" w:cs="Times New Roman"/>
                <w:bCs/>
                <w:color w:val="auto"/>
                <w:sz w:val="24"/>
                <w:szCs w:val="24"/>
              </w:rPr>
              <w:t>周围地下水环境产生直接影响。</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9.1.4.</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声环境</w:t>
            </w:r>
          </w:p>
          <w:p>
            <w:pPr>
              <w:keepNext w:val="0"/>
              <w:keepLines w:val="0"/>
              <w:pageBreakBefore w:val="0"/>
              <w:kinsoku/>
              <w:wordWrap/>
              <w:overflowPunct/>
              <w:topLinePunct w:val="0"/>
              <w:autoSpaceDE w:val="0"/>
              <w:autoSpaceDN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本项目产噪设备主要为格栅机、泵类等生产设备。选择低噪声设备、合理布局、封闭厂房，减震基础，厂房门窗隔声等措施。本项目运营后，对关心点影响甚微。因此，从声环境角度来讲本项目建设是可行的。</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9.1.4.</w:t>
            </w: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固废</w:t>
            </w:r>
          </w:p>
          <w:p>
            <w:pPr>
              <w:keepNext w:val="0"/>
              <w:keepLines w:val="0"/>
              <w:pageBreakBefore w:val="0"/>
              <w:kinsoku/>
              <w:wordWrap/>
              <w:overflowPunct/>
              <w:topLinePunct w:val="0"/>
              <w:autoSpaceDE w:val="0"/>
              <w:autoSpaceDN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项目各类固体废物可得到妥善的处置，基本不会对周围环境产生影响。</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9.1.4.</w:t>
            </w: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土壤环境</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经分析，项目产生的各类污染物均能得到有效控制，对土壤环境产生影响较小。</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9.1.4.</w:t>
            </w: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lang w:eastAsia="zh-CN"/>
              </w:rPr>
              <w:t>环境风险</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经过采取环评提出的环境风险防范措施后，本项目环境风险是可以接受的。</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9.1.</w:t>
            </w: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color w:val="auto"/>
                <w:sz w:val="24"/>
              </w:rPr>
              <w:t>环境管理与监测计划</w:t>
            </w:r>
          </w:p>
          <w:p>
            <w:pPr>
              <w:keepNext w:val="0"/>
              <w:keepLines w:val="0"/>
              <w:pageBreakBefore w:val="0"/>
              <w:kinsoku/>
              <w:wordWrap/>
              <w:overflowPunct/>
              <w:topLinePunct w:val="0"/>
              <w:bidi w:val="0"/>
              <w:spacing w:line="480" w:lineRule="exact"/>
              <w:ind w:firstLine="482"/>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（1）环境管理</w:t>
            </w:r>
          </w:p>
          <w:p>
            <w:pPr>
              <w:keepNext w:val="0"/>
              <w:keepLines w:val="0"/>
              <w:pageBreakBefore w:val="0"/>
              <w:kinsoku/>
              <w:wordWrap/>
              <w:overflowPunct/>
              <w:topLinePunct w:val="0"/>
              <w:bidi w:val="0"/>
              <w:spacing w:line="480" w:lineRule="exact"/>
              <w:ind w:firstLine="482"/>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提出了具体的环境管理要求。明确了环境管理机构的设置与职责，并给出了环境管理的工作计划和管理内容以及环保设施竣工验收管理的要求。为了保证经济发展与环境保护同步进行，以控制和减少企业在建设与生产期所带来的环境污染，建设单位应强化企业的环境管理，使污染治理设施正常、可靠运行，把污染减至最低，同时，进一步实施资源的综合再利用。</w:t>
            </w:r>
          </w:p>
          <w:p>
            <w:pPr>
              <w:keepNext w:val="0"/>
              <w:keepLines w:val="0"/>
              <w:pageBreakBefore w:val="0"/>
              <w:kinsoku/>
              <w:wordWrap/>
              <w:overflowPunct/>
              <w:topLinePunct w:val="0"/>
              <w:bidi w:val="0"/>
              <w:spacing w:line="480" w:lineRule="exact"/>
              <w:ind w:firstLine="482"/>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（2）监测计划</w:t>
            </w:r>
          </w:p>
          <w:p>
            <w:pPr>
              <w:keepNext w:val="0"/>
              <w:keepLines w:val="0"/>
              <w:pageBreakBefore w:val="0"/>
              <w:kinsoku/>
              <w:wordWrap/>
              <w:overflowPunct/>
              <w:topLinePunct w:val="0"/>
              <w:bidi w:val="0"/>
              <w:spacing w:line="480" w:lineRule="exact"/>
              <w:ind w:firstLine="482"/>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从污染源监测方面，给出了详细的监测计划，包括监测因子、监测点位布设、监测频次等内容，企业应严格按照监测计划内容对项目生产过程中所产生的污染物和污染防治设施进行监测，以便掌握项目内部的污染状况和项目所产生的污染物对周围环境的影响，根据污染物浓度及其变化规律，采取必要、合理的防治措施。</w:t>
            </w:r>
          </w:p>
          <w:p>
            <w:pPr>
              <w:keepNext w:val="0"/>
              <w:keepLines w:val="0"/>
              <w:pageBreakBefore w:val="0"/>
              <w:kinsoku/>
              <w:wordWrap/>
              <w:overflowPunct/>
              <w:topLinePunct w:val="0"/>
              <w:bidi w:val="0"/>
              <w:spacing w:line="480" w:lineRule="exact"/>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9.1.6建设项目环境可行性结论</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本建设项目按照环评中规定的污染治理措施实施后，对周围环境的影响较小。因此，通过本项目工程分析以及环境影响分析后认为，本项目在采取环评要求的各项环保治理措施后，对区域环境质量影响轻微。</w:t>
            </w:r>
          </w:p>
          <w:p>
            <w:pPr>
              <w:keepNext w:val="0"/>
              <w:keepLines w:val="0"/>
              <w:pageBreakBefore w:val="0"/>
              <w:kinsoku/>
              <w:wordWrap/>
              <w:overflowPunct/>
              <w:topLinePunct w:val="0"/>
              <w:bidi w:val="0"/>
              <w:spacing w:line="480" w:lineRule="exact"/>
              <w:ind w:firstLine="482" w:firstLineChars="200"/>
              <w:jc w:val="left"/>
              <w:rPr>
                <w:rFonts w:hint="default" w:ascii="Times New Roman" w:hAnsi="Times New Roman" w:eastAsia="宋体" w:cs="Times New Roman"/>
                <w:b/>
                <w:bCs/>
                <w:color w:val="auto"/>
                <w:sz w:val="24"/>
              </w:rPr>
            </w:pPr>
          </w:p>
          <w:p>
            <w:pPr>
              <w:keepNext w:val="0"/>
              <w:keepLines w:val="0"/>
              <w:pageBreakBefore w:val="0"/>
              <w:kinsoku/>
              <w:wordWrap/>
              <w:overflowPunct/>
              <w:topLinePunct w:val="0"/>
              <w:bidi w:val="0"/>
              <w:spacing w:line="480" w:lineRule="exact"/>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综上所述，山西省繁峙县3000m³生活污水应急处理站项目的建设符合国家产业政策，厂址选择不涉及环境敏感区；在采取环评规定的措施后各污染物可达标排放。在严格落实环评规定的各项环保措施，保证所排污染物达标排放，对周围环境影响较小。因此，从环保角度评价，本项目的建设是可行的。</w:t>
            </w:r>
          </w:p>
          <w:p>
            <w:pPr>
              <w:keepNext w:val="0"/>
              <w:keepLines w:val="0"/>
              <w:pageBreakBefore w:val="0"/>
              <w:kinsoku/>
              <w:wordWrap/>
              <w:overflowPunct/>
              <w:topLinePunct w:val="0"/>
              <w:bidi w:val="0"/>
              <w:adjustRightInd w:val="0"/>
              <w:snapToGrid w:val="0"/>
              <w:spacing w:line="480" w:lineRule="exact"/>
              <w:jc w:val="left"/>
              <w:rPr>
                <w:rFonts w:hint="default" w:ascii="Times New Roman" w:hAnsi="Times New Roman" w:eastAsia="宋体" w:cs="Times New Roman"/>
                <w:b/>
                <w:bCs/>
                <w:color w:val="auto"/>
                <w:kern w:val="0"/>
                <w:sz w:val="24"/>
              </w:rPr>
            </w:pPr>
          </w:p>
          <w:p>
            <w:pPr>
              <w:keepNext w:val="0"/>
              <w:keepLines w:val="0"/>
              <w:pageBreakBefore w:val="0"/>
              <w:kinsoku/>
              <w:wordWrap/>
              <w:overflowPunct/>
              <w:topLinePunct w:val="0"/>
              <w:bidi w:val="0"/>
              <w:adjustRightInd w:val="0"/>
              <w:snapToGrid w:val="0"/>
              <w:spacing w:line="480" w:lineRule="exact"/>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9.2建议</w:t>
            </w:r>
          </w:p>
          <w:p>
            <w:pPr>
              <w:keepNext w:val="0"/>
              <w:keepLines w:val="0"/>
              <w:pageBreakBefore w:val="0"/>
              <w:kinsoku/>
              <w:wordWrap/>
              <w:overflowPunct/>
              <w:topLinePunct w:val="0"/>
              <w:autoSpaceDE w:val="0"/>
              <w:autoSpaceDN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1、认真贯彻执行环保法规及有关上级环保主管部门的指示、文件；</w:t>
            </w:r>
          </w:p>
          <w:p>
            <w:pPr>
              <w:keepNext w:val="0"/>
              <w:keepLines w:val="0"/>
              <w:pageBreakBefore w:val="0"/>
              <w:kinsoku/>
              <w:wordWrap/>
              <w:overflowPunct/>
              <w:topLinePunct w:val="0"/>
              <w:autoSpaceDE w:val="0"/>
              <w:autoSpaceDN w:val="0"/>
              <w:bidi w:val="0"/>
              <w:spacing w:line="48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2、对员工进行环保培训，提高工作人员的环保意识，并且在管理方面始终要对社会、环境资源采取负责的态度，要节约能源，节约用水；</w:t>
            </w:r>
          </w:p>
          <w:p>
            <w:pPr>
              <w:keepNext w:val="0"/>
              <w:keepLines w:val="0"/>
              <w:pageBreakBefore w:val="0"/>
              <w:kinsoku/>
              <w:wordWrap/>
              <w:overflowPunct/>
              <w:topLinePunct w:val="0"/>
              <w:bidi w:val="0"/>
              <w:spacing w:line="480" w:lineRule="exact"/>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3、对设备要经常维护和检查，保证设备安全高效运行，减少对周围环境的污染。</w:t>
            </w:r>
          </w:p>
          <w:p>
            <w:pPr>
              <w:spacing w:line="480" w:lineRule="exact"/>
              <w:rPr>
                <w:rFonts w:hint="default" w:ascii="Times New Roman" w:hAnsi="Times New Roman" w:eastAsia="宋体" w:cs="Times New Roman"/>
                <w:color w:val="auto"/>
                <w:kern w:val="0"/>
                <w:sz w:val="24"/>
              </w:rPr>
            </w:pPr>
          </w:p>
        </w:tc>
      </w:tr>
    </w:tbl>
    <w:p>
      <w:pPr>
        <w:spacing w:line="20" w:lineRule="exact"/>
        <w:rPr>
          <w:rFonts w:hint="default" w:ascii="Times New Roman" w:hAnsi="Times New Roman" w:eastAsia="宋体" w:cs="Times New Roman"/>
          <w:color w:val="auto"/>
        </w:rPr>
      </w:pPr>
      <w:r>
        <w:rPr>
          <w:rFonts w:hint="default" w:ascii="Times New Roman" w:hAnsi="Times New Roman" w:eastAsia="宋体" w:cs="Times New Roman"/>
          <w:color w:val="auto"/>
        </w:rPr>
        <w:t>、</w:t>
      </w:r>
    </w:p>
    <w:p>
      <w:pPr>
        <w:spacing w:line="20" w:lineRule="exact"/>
        <w:rPr>
          <w:rFonts w:hint="default" w:ascii="Times New Roman" w:hAnsi="Times New Roman" w:eastAsia="宋体" w:cs="Times New Roman"/>
          <w:color w:val="auto"/>
        </w:rPr>
      </w:pPr>
    </w:p>
    <w:p>
      <w:pPr>
        <w:spacing w:line="20" w:lineRule="exact"/>
        <w:rPr>
          <w:rFonts w:hint="default" w:ascii="Times New Roman" w:hAnsi="Times New Roman" w:eastAsia="宋体" w:cs="Times New Roman"/>
          <w:color w:val="auto"/>
        </w:rPr>
      </w:pPr>
    </w:p>
    <w:p>
      <w:pPr>
        <w:spacing w:line="20" w:lineRule="exact"/>
        <w:rPr>
          <w:rFonts w:hint="default" w:ascii="Times New Roman" w:hAnsi="Times New Roman" w:eastAsia="宋体" w:cs="Times New Roman"/>
          <w:color w:val="auto"/>
        </w:rPr>
      </w:pPr>
    </w:p>
    <w:p>
      <w:pPr>
        <w:spacing w:line="20" w:lineRule="exact"/>
        <w:rPr>
          <w:rFonts w:hint="default" w:ascii="Times New Roman" w:hAnsi="Times New Roman" w:eastAsia="宋体" w:cs="Times New Roman"/>
          <w:color w:val="auto"/>
        </w:rPr>
      </w:pPr>
    </w:p>
    <w:tbl>
      <w:tblPr>
        <w:tblStyle w:val="77"/>
        <w:tblW w:w="935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6211" w:hRule="atLeast"/>
          <w:jc w:val="center"/>
        </w:trPr>
        <w:tc>
          <w:tcPr>
            <w:tcW w:w="9354" w:type="dxa"/>
            <w:tcBorders>
              <w:tl2br w:val="nil"/>
              <w:tr2bl w:val="nil"/>
            </w:tcBorders>
          </w:tcPr>
          <w:p>
            <w:pPr>
              <w:adjustRightInd w:val="0"/>
              <w:snapToGrid w:val="0"/>
              <w:spacing w:before="24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rPr>
              <w:br w:type="page"/>
            </w:r>
            <w:r>
              <w:rPr>
                <w:rFonts w:hint="default" w:ascii="Times New Roman" w:hAnsi="Times New Roman" w:eastAsia="宋体" w:cs="Times New Roman"/>
                <w:color w:val="auto"/>
                <w:kern w:val="0"/>
                <w:sz w:val="28"/>
                <w:szCs w:val="28"/>
              </w:rPr>
              <w:t>预审意见：</w:t>
            </w: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spacing w:before="240"/>
              <w:ind w:firstLine="5600" w:firstLineChars="200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公章</w:t>
            </w:r>
          </w:p>
          <w:p>
            <w:pPr>
              <w:adjustRightInd w:val="0"/>
              <w:snapToGrid w:val="0"/>
              <w:spacing w:before="24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经办人：</w:t>
            </w:r>
          </w:p>
          <w:p>
            <w:pPr>
              <w:wordWrap w:val="0"/>
              <w:adjustRightInd w:val="0"/>
              <w:snapToGrid w:val="0"/>
              <w:spacing w:before="240"/>
              <w:ind w:right="1120"/>
              <w:jc w:val="right"/>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7493" w:hRule="atLeast"/>
          <w:jc w:val="center"/>
        </w:trPr>
        <w:tc>
          <w:tcPr>
            <w:tcW w:w="9354" w:type="dxa"/>
            <w:tcBorders>
              <w:tl2br w:val="nil"/>
              <w:tr2bl w:val="nil"/>
            </w:tcBorders>
          </w:tcPr>
          <w:p>
            <w:pPr>
              <w:adjustRightInd w:val="0"/>
              <w:snapToGrid w:val="0"/>
              <w:spacing w:before="24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下一级环境保护行政主管部门审查意见：</w:t>
            </w: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spacing w:before="240"/>
              <w:ind w:firstLine="5600" w:firstLineChars="200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公章</w:t>
            </w:r>
          </w:p>
          <w:p>
            <w:pPr>
              <w:adjustRightInd w:val="0"/>
              <w:snapToGrid w:val="0"/>
              <w:spacing w:before="24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经办人：</w:t>
            </w:r>
          </w:p>
          <w:p>
            <w:pPr>
              <w:adjustRightInd w:val="0"/>
              <w:snapToGrid w:val="0"/>
              <w:spacing w:before="240"/>
              <w:ind w:firstLine="5600" w:firstLineChars="2000"/>
              <w:rPr>
                <w:rFonts w:hint="default" w:ascii="Times New Roman" w:hAnsi="Times New Roman" w:eastAsia="宋体" w:cs="Times New Roman"/>
                <w:color w:val="auto"/>
                <w:kern w:val="0"/>
                <w:sz w:val="28"/>
                <w:szCs w:val="28"/>
                <w:highlight w:val="yellow"/>
              </w:rPr>
            </w:pPr>
            <w:r>
              <w:rPr>
                <w:rFonts w:hint="default" w:ascii="Times New Roman" w:hAnsi="Times New Roman" w:eastAsia="宋体" w:cs="Times New Roman"/>
                <w:color w:val="auto"/>
                <w:kern w:val="0"/>
                <w:sz w:val="28"/>
                <w:szCs w:val="28"/>
              </w:rP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566" w:hRule="atLeast"/>
          <w:jc w:val="center"/>
        </w:trPr>
        <w:tc>
          <w:tcPr>
            <w:tcW w:w="9354" w:type="dxa"/>
            <w:tcBorders>
              <w:tl2br w:val="nil"/>
              <w:tr2bl w:val="nil"/>
            </w:tcBorders>
          </w:tcPr>
          <w:p>
            <w:pPr>
              <w:adjustRightInd w:val="0"/>
              <w:snapToGrid w:val="0"/>
              <w:spacing w:before="24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审批意见：</w:t>
            </w: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highlight w:val="yellow"/>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rPr>
                <w:rFonts w:hint="default" w:ascii="Times New Roman" w:hAnsi="Times New Roman" w:eastAsia="宋体" w:cs="Times New Roman"/>
                <w:color w:val="auto"/>
                <w:kern w:val="0"/>
                <w:sz w:val="28"/>
                <w:szCs w:val="28"/>
              </w:rPr>
            </w:pPr>
          </w:p>
          <w:p>
            <w:pPr>
              <w:adjustRightInd w:val="0"/>
              <w:snapToGrid w:val="0"/>
              <w:spacing w:before="240"/>
              <w:ind w:firstLine="6440" w:firstLineChars="230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公章</w:t>
            </w:r>
          </w:p>
          <w:p>
            <w:pPr>
              <w:adjustRightInd w:val="0"/>
              <w:snapToGrid w:val="0"/>
              <w:spacing w:before="24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经办人：</w:t>
            </w:r>
          </w:p>
          <w:p>
            <w:pPr>
              <w:adjustRightInd w:val="0"/>
              <w:snapToGrid w:val="0"/>
              <w:spacing w:before="240"/>
              <w:ind w:firstLine="6440" w:firstLineChars="2300"/>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年月日</w:t>
            </w: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rPr>
            </w:pPr>
          </w:p>
          <w:p>
            <w:pPr>
              <w:adjustRightInd w:val="0"/>
              <w:snapToGrid w:val="0"/>
              <w:spacing w:before="240"/>
              <w:rPr>
                <w:rFonts w:hint="default" w:ascii="Times New Roman" w:hAnsi="Times New Roman" w:eastAsia="宋体" w:cs="Times New Roman"/>
                <w:color w:val="auto"/>
                <w:kern w:val="0"/>
                <w:sz w:val="28"/>
                <w:szCs w:val="28"/>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566" w:hRule="atLeast"/>
          <w:jc w:val="center"/>
        </w:trPr>
        <w:tc>
          <w:tcPr>
            <w:tcW w:w="9354" w:type="dxa"/>
            <w:tcBorders>
              <w:tl2br w:val="nil"/>
              <w:tr2bl w:val="nil"/>
            </w:tcBorders>
          </w:tcPr>
          <w:p>
            <w:pPr>
              <w:spacing w:line="600" w:lineRule="exact"/>
              <w:jc w:val="center"/>
              <w:rPr>
                <w:rFonts w:hint="default" w:ascii="Times New Roman" w:hAnsi="Times New Roman" w:eastAsia="宋体" w:cs="Times New Roman"/>
                <w:b/>
                <w:color w:val="auto"/>
                <w:kern w:val="0"/>
                <w:sz w:val="30"/>
                <w:szCs w:val="30"/>
              </w:rPr>
            </w:pPr>
            <w:r>
              <w:rPr>
                <w:rFonts w:hint="default" w:ascii="Times New Roman" w:hAnsi="Times New Roman" w:eastAsia="宋体" w:cs="Times New Roman"/>
                <w:b/>
                <w:color w:val="auto"/>
                <w:kern w:val="0"/>
                <w:sz w:val="30"/>
                <w:szCs w:val="30"/>
              </w:rPr>
              <w:t>注  释</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一、本报告表应附以下附件、附图：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附图1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地理位置图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附图2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 xml:space="preserve"> 四邻关系图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附图3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 xml:space="preserve"> 平面布置图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附图4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繁峙县县城污水工程规划图（2010-2030）</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 xml:space="preserve"> 交通位置图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河流水系图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乡镇水源地分布图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繁峙县县城总体规划图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繁峙县生态功能区划图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 xml:space="preserve">  繁峙县生态经济区划图</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附图1  委托书</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附图2  立项文件</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 xml:space="preserve">附图3  </w:t>
            </w:r>
            <w:r>
              <w:rPr>
                <w:rFonts w:hint="default" w:ascii="Times New Roman" w:hAnsi="Times New Roman" w:eastAsia="宋体" w:cs="Times New Roman"/>
                <w:color w:val="auto"/>
                <w:sz w:val="24"/>
                <w:lang w:eastAsia="zh-CN"/>
              </w:rPr>
              <w:t>繁峙县自然资源局关于山西省繁峙县</w:t>
            </w:r>
            <w:r>
              <w:rPr>
                <w:rFonts w:hint="default" w:ascii="Times New Roman" w:hAnsi="Times New Roman" w:eastAsia="宋体" w:cs="Times New Roman"/>
                <w:color w:val="auto"/>
                <w:sz w:val="24"/>
                <w:lang w:val="en-US" w:eastAsia="zh-CN"/>
              </w:rPr>
              <w:t>3000m³生活污水应急处理站项目的用地意见</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附图4  监测报告</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附图</w:t>
            </w:r>
            <w:r>
              <w:rPr>
                <w:rFonts w:hint="eastAsia" w:cs="Times New Roman"/>
                <w:color w:val="auto"/>
                <w:sz w:val="24"/>
                <w:lang w:val="en-US" w:eastAsia="zh-CN"/>
              </w:rPr>
              <w:t>5</w:t>
            </w:r>
            <w:r>
              <w:rPr>
                <w:rFonts w:hint="default" w:ascii="Times New Roman" w:hAnsi="Times New Roman" w:eastAsia="宋体" w:cs="Times New Roman"/>
                <w:color w:val="auto"/>
                <w:sz w:val="24"/>
              </w:rPr>
              <w:t xml:space="preserve">  </w:t>
            </w:r>
            <w:r>
              <w:rPr>
                <w:rFonts w:hint="eastAsia" w:cs="Times New Roman"/>
                <w:color w:val="auto"/>
                <w:sz w:val="24"/>
                <w:lang w:eastAsia="zh-CN"/>
              </w:rPr>
              <w:t>技术审查意见</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附表：</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基础信息表</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二、如果本报告表不能说明项目产生的污染及对环境造成的影响，应进行专项评价。根据建设项目的特点和当地环境特征，应选下列1-2项进行专项评价。</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1．大气环境影响专项评价</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2．水环境影响专项评价（包括地表水和地下水）</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3．生态影响专项评价</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4．声影响专项评价</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5．土壤影响专项评价</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6．固体废弃物影响专项评价</w:t>
            </w:r>
          </w:p>
          <w:p>
            <w:pPr>
              <w:keepNext w:val="0"/>
              <w:keepLines w:val="0"/>
              <w:pageBreakBefore w:val="0"/>
              <w:widowControl w:val="0"/>
              <w:kinsoku/>
              <w:wordWrap/>
              <w:overflowPunct/>
              <w:topLinePunct w:val="0"/>
              <w:bidi w:val="0"/>
              <w:adjustRightInd w:val="0"/>
              <w:snapToGrid w:val="0"/>
              <w:spacing w:line="46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以上专项评价未包括的可另列专项，专项评价按照《环境影响评价技术导则》中的要求进行。</w:t>
            </w:r>
          </w:p>
        </w:tc>
      </w:tr>
    </w:tbl>
    <w:p>
      <w:pPr>
        <w:rPr>
          <w:rFonts w:hint="default" w:ascii="Times New Roman" w:hAnsi="Times New Roman" w:eastAsia="宋体" w:cs="Times New Roman"/>
          <w:color w:val="auto"/>
        </w:rPr>
        <w:sectPr>
          <w:headerReference r:id="rId12" w:type="default"/>
          <w:footerReference r:id="rId13" w:type="default"/>
          <w:pgSz w:w="11906" w:h="16838"/>
          <w:pgMar w:top="1361" w:right="1474" w:bottom="136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val="0"/>
        <w:adjustRightInd/>
        <w:snapToGrid/>
        <w:jc w:val="center"/>
        <w:rPr>
          <w:rFonts w:hint="default" w:ascii="Times New Roman" w:hAnsi="Times New Roman" w:eastAsia="宋体" w:cs="Times New Roman"/>
          <w:b/>
          <w:color w:val="auto"/>
          <w:kern w:val="2"/>
          <w:sz w:val="48"/>
          <w:szCs w:val="48"/>
        </w:rPr>
      </w:pPr>
    </w:p>
    <w:p>
      <w:pPr>
        <w:widowControl w:val="0"/>
        <w:adjustRightInd/>
        <w:snapToGrid/>
        <w:jc w:val="center"/>
        <w:rPr>
          <w:rFonts w:hint="default" w:ascii="Times New Roman" w:hAnsi="Times New Roman" w:eastAsia="宋体" w:cs="Times New Roman"/>
          <w:b/>
          <w:color w:val="auto"/>
          <w:kern w:val="2"/>
          <w:sz w:val="48"/>
          <w:szCs w:val="48"/>
        </w:rPr>
      </w:pPr>
    </w:p>
    <w:p>
      <w:pPr>
        <w:widowControl w:val="0"/>
        <w:adjustRightInd/>
        <w:snapToGrid/>
        <w:jc w:val="center"/>
        <w:rPr>
          <w:rFonts w:hint="default" w:ascii="Times New Roman" w:hAnsi="Times New Roman" w:eastAsia="宋体" w:cs="Times New Roman"/>
          <w:b/>
          <w:color w:val="auto"/>
          <w:kern w:val="2"/>
          <w:sz w:val="48"/>
          <w:szCs w:val="48"/>
        </w:rPr>
      </w:pPr>
    </w:p>
    <w:p>
      <w:pPr>
        <w:widowControl w:val="0"/>
        <w:adjustRightInd/>
        <w:snapToGrid/>
        <w:spacing w:line="600" w:lineRule="exact"/>
        <w:jc w:val="center"/>
        <w:rPr>
          <w:rFonts w:hint="default" w:ascii="Times New Roman" w:hAnsi="Times New Roman" w:eastAsia="宋体" w:cs="Times New Roman"/>
          <w:b/>
          <w:color w:val="auto"/>
          <w:kern w:val="2"/>
          <w:sz w:val="48"/>
          <w:szCs w:val="48"/>
        </w:rPr>
      </w:pPr>
      <w:r>
        <w:rPr>
          <w:rFonts w:hint="default" w:ascii="Times New Roman" w:hAnsi="Times New Roman" w:eastAsia="宋体" w:cs="Times New Roman"/>
          <w:b/>
          <w:color w:val="auto"/>
          <w:kern w:val="2"/>
          <w:sz w:val="48"/>
          <w:szCs w:val="48"/>
        </w:rPr>
        <w:t>山西省繁峙县3000m³生活污水应急处理站项目环境影响专题评价</w:t>
      </w: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both"/>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964" w:firstLineChars="200"/>
        <w:jc w:val="center"/>
        <w:rPr>
          <w:rFonts w:hint="default" w:ascii="Times New Roman" w:hAnsi="Times New Roman" w:eastAsia="宋体" w:cs="Times New Roman"/>
          <w:b/>
          <w:color w:val="auto"/>
          <w:kern w:val="2"/>
          <w:sz w:val="48"/>
          <w:szCs w:val="48"/>
        </w:rPr>
      </w:pPr>
    </w:p>
    <w:p>
      <w:pPr>
        <w:widowControl w:val="0"/>
        <w:adjustRightInd/>
        <w:snapToGrid/>
        <w:ind w:firstLine="602" w:firstLineChars="200"/>
        <w:jc w:val="center"/>
        <w:rPr>
          <w:rFonts w:hint="default" w:ascii="Times New Roman" w:hAnsi="Times New Roman" w:eastAsia="宋体" w:cs="Times New Roman"/>
          <w:b/>
          <w:color w:val="auto"/>
          <w:kern w:val="2"/>
          <w:sz w:val="30"/>
          <w:szCs w:val="30"/>
        </w:rPr>
      </w:pPr>
      <w:r>
        <w:rPr>
          <w:rFonts w:hint="default" w:ascii="Times New Roman" w:hAnsi="Times New Roman" w:eastAsia="宋体" w:cs="Times New Roman"/>
          <w:b/>
          <w:color w:val="auto"/>
          <w:kern w:val="2"/>
          <w:sz w:val="30"/>
          <w:szCs w:val="30"/>
        </w:rPr>
        <w:t>山西中安质环环保科技工程有限公司</w:t>
      </w:r>
    </w:p>
    <w:p>
      <w:pPr>
        <w:widowControl w:val="0"/>
        <w:adjustRightInd/>
        <w:snapToGrid/>
        <w:ind w:firstLine="602" w:firstLineChars="200"/>
        <w:jc w:val="center"/>
        <w:rPr>
          <w:rFonts w:hint="default" w:ascii="Times New Roman" w:hAnsi="Times New Roman" w:eastAsia="宋体" w:cs="Times New Roman"/>
          <w:b/>
          <w:color w:val="auto"/>
          <w:kern w:val="2"/>
          <w:sz w:val="48"/>
          <w:szCs w:val="48"/>
        </w:rPr>
      </w:pPr>
      <w:r>
        <w:rPr>
          <w:rFonts w:hint="default" w:ascii="Times New Roman" w:hAnsi="Times New Roman" w:eastAsia="宋体" w:cs="Times New Roman"/>
          <w:b/>
          <w:color w:val="auto"/>
          <w:kern w:val="2"/>
          <w:sz w:val="30"/>
          <w:szCs w:val="30"/>
        </w:rPr>
        <w:t>二O二〇年</w:t>
      </w:r>
      <w:r>
        <w:rPr>
          <w:rFonts w:hint="default" w:ascii="Times New Roman" w:hAnsi="Times New Roman" w:eastAsia="宋体" w:cs="Times New Roman"/>
          <w:b/>
          <w:color w:val="auto"/>
          <w:kern w:val="2"/>
          <w:sz w:val="30"/>
          <w:szCs w:val="30"/>
          <w:lang w:eastAsia="zh-CN"/>
        </w:rPr>
        <w:t>十二</w:t>
      </w:r>
      <w:r>
        <w:rPr>
          <w:rFonts w:hint="default" w:ascii="Times New Roman" w:hAnsi="Times New Roman" w:eastAsia="宋体" w:cs="Times New Roman"/>
          <w:b/>
          <w:color w:val="auto"/>
          <w:kern w:val="2"/>
          <w:sz w:val="30"/>
          <w:szCs w:val="30"/>
        </w:rPr>
        <w:t>月</w:t>
      </w:r>
    </w:p>
    <w:p>
      <w:pPr>
        <w:spacing w:line="220" w:lineRule="atLeast"/>
        <w:jc w:val="center"/>
        <w:rPr>
          <w:rFonts w:hint="default" w:ascii="Times New Roman" w:hAnsi="Times New Roman" w:eastAsia="宋体" w:cs="Times New Roman"/>
          <w:b/>
          <w:color w:val="auto"/>
          <w:sz w:val="32"/>
          <w:szCs w:val="32"/>
        </w:rPr>
      </w:pPr>
    </w:p>
    <w:p>
      <w:pPr>
        <w:spacing w:line="220" w:lineRule="atLeast"/>
        <w:jc w:val="center"/>
        <w:rPr>
          <w:rFonts w:hint="default" w:ascii="Times New Roman" w:hAnsi="Times New Roman" w:eastAsia="宋体" w:cs="Times New Roman"/>
          <w:b/>
          <w:color w:val="auto"/>
          <w:sz w:val="32"/>
          <w:szCs w:val="32"/>
        </w:rPr>
        <w:sectPr>
          <w:footerReference r:id="rId14" w:type="default"/>
          <w:pgSz w:w="11906" w:h="16838"/>
          <w:pgMar w:top="1440" w:right="1800" w:bottom="1440" w:left="1800" w:header="708" w:footer="283" w:gutter="0"/>
          <w:pgBorders>
            <w:top w:val="none" w:sz="0" w:space="0"/>
            <w:left w:val="none" w:sz="0" w:space="0"/>
            <w:bottom w:val="none" w:sz="0" w:space="0"/>
            <w:right w:val="none" w:sz="0" w:space="0"/>
          </w:pgBorders>
          <w:pgNumType w:start="1"/>
          <w:cols w:space="708" w:num="1"/>
          <w:docGrid w:linePitch="360" w:charSpace="0"/>
        </w:sectPr>
      </w:pPr>
    </w:p>
    <w:sdt>
      <w:sdtPr>
        <w:rPr>
          <w:rFonts w:hint="default" w:ascii="Times New Roman" w:hAnsi="Times New Roman" w:eastAsia="宋体" w:cs="Times New Roman"/>
          <w:color w:val="auto"/>
          <w:sz w:val="21"/>
        </w:rPr>
        <w:id w:val="147483455"/>
        <w:docPartObj>
          <w:docPartGallery w:val="Table of Contents"/>
          <w:docPartUnique/>
        </w:docPartObj>
      </w:sdtPr>
      <w:sdtEndPr>
        <w:rPr>
          <w:rFonts w:hint="default" w:ascii="Times New Roman" w:hAnsi="Times New Roman" w:eastAsia="宋体" w:cs="Times New Roman"/>
          <w:color w:val="auto"/>
          <w:sz w:val="22"/>
          <w:szCs w:val="32"/>
        </w:rPr>
      </w:sdtEndPr>
      <w:sdtContent>
        <w:p>
          <w:pPr>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8"/>
              <w:szCs w:val="32"/>
            </w:rPr>
            <w:t>目录</w:t>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b/>
              <w:color w:val="auto"/>
              <w:sz w:val="32"/>
              <w:szCs w:val="32"/>
            </w:rPr>
            <w:fldChar w:fldCharType="begin"/>
          </w:r>
          <w:r>
            <w:rPr>
              <w:rFonts w:hint="default" w:ascii="Times New Roman" w:hAnsi="Times New Roman" w:eastAsia="宋体" w:cs="Times New Roman"/>
              <w:b/>
              <w:color w:val="auto"/>
              <w:sz w:val="32"/>
              <w:szCs w:val="32"/>
            </w:rPr>
            <w:instrText xml:space="preserve">TOC \o "1-3" \h \u </w:instrText>
          </w:r>
          <w:r>
            <w:rPr>
              <w:rFonts w:hint="default" w:ascii="Times New Roman" w:hAnsi="Times New Roman" w:eastAsia="宋体" w:cs="Times New Roman"/>
              <w:b/>
              <w:color w:val="auto"/>
              <w:sz w:val="32"/>
              <w:szCs w:val="32"/>
            </w:rPr>
            <w:fldChar w:fldCharType="separate"/>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"_Toc17229"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第一章 土壤环境影响评价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_Toc17229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"_Toc6647"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1.1概述</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_Toc6647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"_Toc17497"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1.2土壤环境评价等级、评价范围确定及敏感目标</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_Toc17497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"_Toc26886"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1.2.1评价等级确定</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_Toc26886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"_Toc17077"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1.2.2评价范围及敏感目标分布</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_Toc17077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"_Toc1268"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 土壤环境质量现状监测与评价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_Toc1268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"_Toc7427"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1.3.1 现状监测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_Toc7427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"_Toc4701"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1.3.2现状评价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_Toc4701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7</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"_Toc11245"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1.4土壤环境影响预测与评价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_Toc11245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"_Toc7129"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1.5土壤环境保护措施与对策</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_Toc7129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"_Toc23021"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1.6土壤环境跟踪监测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_Toc23021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"_Toc27416"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1.7结论</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_Toc27416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"_Toc13970"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第二章 环境风险评价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_Toc13970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"_Toc29599"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kern w:val="44"/>
              <w:sz w:val="24"/>
              <w:szCs w:val="24"/>
            </w:rPr>
            <w:t>2.1 概述</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_Toc29599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"_Toc18615"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kern w:val="44"/>
              <w:sz w:val="24"/>
              <w:szCs w:val="24"/>
            </w:rPr>
            <w:t>2.2</w:t>
          </w:r>
          <w:r>
            <w:rPr>
              <w:rFonts w:hint="default" w:ascii="Times New Roman" w:hAnsi="Times New Roman" w:eastAsia="宋体" w:cs="Times New Roman"/>
              <w:i w:val="0"/>
              <w:iCs w:val="0"/>
              <w:color w:val="auto"/>
              <w:sz w:val="24"/>
              <w:szCs w:val="24"/>
            </w:rPr>
            <w:t>环境风险等级</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_Toc18615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16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"_Toc9378"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第三章地表水环境影响评价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_Toc9378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"_Toc16250"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3.0 河流概况</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_Toc16250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22</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"_Toc25240"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3.1 地表水环境功能区划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_Toc25240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"_Toc24575"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3.2 评价等级及范围</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_Toc24575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"_Toc11893"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3.3 环境保护目标</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_Toc11893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"_Toc399"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3.4 影响因素识别、评价时段及评价因子的筛选</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_Toc399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"_Toc16255"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3.5地表水环境现状调查与监测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_Toc16255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"_Toc14644"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3.6地表水环境质量现状评价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_Toc14644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"_Toc18162"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3.6.1 评价标准</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_Toc18162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"_Toc11476"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3.6.2 评价方法</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_Toc11476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"_Toc3787"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（1）评价方法</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_Toc3787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"_Toc11071"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3.6.3 评价结果</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_Toc11071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"_Toc22350"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3.7地表水环境影响预测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_Toc22350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"_Toc13715"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3.7.1 预测内容</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_Toc13715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"_Toc32605"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3.7.2 预测范围、时段及预测因子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_Toc32605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"_Toc4193"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3.7.3 预测源强及背景浓度</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_Toc4193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"_Toc32153"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3.7.4 预测模型及参数率定</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_Toc32153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"_Toc21207"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3.8 地表水环境影响评价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_Toc21207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37</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"_Toc17246"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3.8.2 污染源排放量核算</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_Toc17246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"_Toc3127"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3.8.3 总量控制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_Toc3127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"_Toc24789"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3.8.4 施工期水环境影响评价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_Toc24789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"_Toc6702"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3.8.5 运营期水环境影响评价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_Toc6702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"_Toc14969"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3.9 环境保护措施与监测计划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_Toc14969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"_Toc24265"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3.9.1 施工期环保措施</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_Toc24265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"_Toc25523"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3.9.2 运营期环保措施</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_Toc25523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"_Toc15124"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3.9.3 水质监测计划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_Toc15124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"_Toc3972"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i w:val="0"/>
              <w:iCs w:val="0"/>
              <w:color w:val="auto"/>
              <w:sz w:val="24"/>
              <w:szCs w:val="24"/>
            </w:rPr>
            <w:t>3.10 地表水环境影响评价结论</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_Toc3972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"_Toc7080"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第四章地下水影响评价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_Toc7080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"_Toc3760"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4.1 编制依据</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_Toc3760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"_Toc22883"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4.1.1 任务依据</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_Toc22883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"_Toc22329"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4.1.2 有关法律、法规、标准</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_Toc22329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"_Toc7002"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4.1.3 技术规范</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_Toc7002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"_Toc20414"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4.2 地下水环境功能区划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_Toc20414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"_Toc17193"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 地下水评价工作等级与评价范围</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_Toc17193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"_Toc15952"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2.1 评价等级</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_Toc15952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"_Toc30485"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2.2 评价范围</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_Toc30485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"_Toc3789"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2.3 地下水环境保护目标</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_Toc3789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47</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"_Toc32641"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  地质与水文地质条件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_Toc32641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"_Toc19456"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 区域地质与水文地质条件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_Toc19456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"_Toc30748"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3.1.1 区域地质构造</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_Toc30748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39"/>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"_Toc13994"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3.1.2 区域水文地质条件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_Toc13994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"_Toc2893"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3.2 调查评价区水文地质条件</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_Toc2893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54</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"_Toc4530"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  地下水环境质量现状评价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_Toc4530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"_Toc4617"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4.1 现状监测</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_Toc4617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"_Toc13596"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4.2 现状评价</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_Toc13596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"_Toc908"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  地下水环境影响分析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_Toc908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"_Toc17781"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5.1项目用排水分析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_Toc17781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"_Toc7121"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5.2地下水污染途径及污染防控对策</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_Toc7121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"_Toc4737"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5.2.1地下水污染途径分析</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_Toc4737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"_Toc2709"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5.2.2 防止地下水污染的环境保护措施</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_Toc2709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60</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"_Toc25696"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5.2.3项目污染防控对策</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_Toc25696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61</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"_Toc19865"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5.3地下水跟踪监测计划</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_Toc19865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63</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63"/>
            <w:keepNext w:val="0"/>
            <w:keepLines w:val="0"/>
            <w:pageBreakBefore w:val="0"/>
            <w:widowControl w:val="0"/>
            <w:tabs>
              <w:tab w:val="right" w:leader="dot" w:pos="9073"/>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"_Toc14354"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5.4地下水应急预案及处理</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_Toc14354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pStyle w:val="53"/>
            <w:keepNext w:val="0"/>
            <w:keepLines w:val="0"/>
            <w:pageBreakBefore w:val="0"/>
            <w:widowControl w:val="0"/>
            <w:tabs>
              <w:tab w:val="right" w:leader="dot" w:pos="9073"/>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"_Toc10351"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  地下水环境影响评价结论</w:t>
          </w:r>
          <w:r>
            <w:rPr>
              <w:rFonts w:hint="default" w:ascii="Times New Roman" w:hAnsi="Times New Roman" w:eastAsia="宋体" w:cs="Times New Roman"/>
              <w:i w:val="0"/>
              <w:iCs w:val="0"/>
              <w:color w:val="auto"/>
              <w:sz w:val="24"/>
              <w:szCs w:val="24"/>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_Toc10351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66</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pPr>
            <w:spacing w:line="220" w:lineRule="atLeast"/>
            <w:jc w:val="center"/>
            <w:rPr>
              <w:rFonts w:hint="default" w:ascii="Times New Roman" w:hAnsi="Times New Roman" w:eastAsia="宋体" w:cs="Times New Roman"/>
              <w:b/>
              <w:color w:val="auto"/>
              <w:sz w:val="32"/>
              <w:szCs w:val="32"/>
            </w:rPr>
          </w:pPr>
          <w:r>
            <w:rPr>
              <w:rFonts w:hint="default" w:ascii="Times New Roman" w:hAnsi="Times New Roman" w:eastAsia="宋体" w:cs="Times New Roman"/>
              <w:color w:val="auto"/>
              <w:szCs w:val="32"/>
            </w:rPr>
            <w:fldChar w:fldCharType="end"/>
          </w:r>
        </w:p>
      </w:sdtContent>
    </w:sdt>
    <w:p>
      <w:pPr>
        <w:spacing w:line="220" w:lineRule="atLeast"/>
        <w:jc w:val="center"/>
        <w:rPr>
          <w:rFonts w:hint="default" w:ascii="Times New Roman" w:hAnsi="Times New Roman" w:eastAsia="宋体" w:cs="Times New Roman"/>
          <w:b/>
          <w:color w:val="auto"/>
          <w:sz w:val="32"/>
          <w:szCs w:val="32"/>
        </w:rPr>
      </w:pPr>
    </w:p>
    <w:p>
      <w:pPr>
        <w:spacing w:line="220" w:lineRule="atLeast"/>
        <w:jc w:val="center"/>
        <w:rPr>
          <w:rFonts w:hint="default" w:ascii="Times New Roman" w:hAnsi="Times New Roman" w:eastAsia="宋体" w:cs="Times New Roman"/>
          <w:b/>
          <w:color w:val="auto"/>
          <w:sz w:val="32"/>
          <w:szCs w:val="32"/>
        </w:rPr>
      </w:pPr>
    </w:p>
    <w:p>
      <w:pPr>
        <w:pStyle w:val="4"/>
        <w:rPr>
          <w:rFonts w:hint="default" w:ascii="Times New Roman" w:hAnsi="Times New Roman" w:eastAsia="宋体" w:cs="Times New Roman"/>
          <w:color w:val="auto"/>
        </w:rPr>
        <w:sectPr>
          <w:footerReference r:id="rId15" w:type="default"/>
          <w:pgSz w:w="11907" w:h="16839"/>
          <w:pgMar w:top="1417"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color w:val="auto"/>
          <w:sz w:val="32"/>
          <w:szCs w:val="32"/>
        </w:rPr>
      </w:pPr>
      <w:bookmarkStart w:id="17" w:name="_Toc17229"/>
      <w:r>
        <w:rPr>
          <w:rFonts w:hint="default" w:ascii="Times New Roman" w:hAnsi="Times New Roman" w:eastAsia="宋体" w:cs="Times New Roman"/>
          <w:color w:val="auto"/>
          <w:sz w:val="32"/>
          <w:szCs w:val="32"/>
        </w:rPr>
        <w:t>第一章 土壤环境影响评价</w:t>
      </w:r>
      <w:bookmarkEnd w:id="17"/>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0"/>
        <w:rPr>
          <w:rFonts w:hint="default" w:ascii="Times New Roman" w:hAnsi="Times New Roman" w:eastAsia="宋体" w:cs="Times New Roman"/>
          <w:b/>
          <w:color w:val="auto"/>
          <w:sz w:val="24"/>
          <w:szCs w:val="24"/>
        </w:rPr>
      </w:pPr>
      <w:bookmarkStart w:id="18" w:name="_Toc1864"/>
      <w:bookmarkStart w:id="19" w:name="_Toc6647"/>
      <w:r>
        <w:rPr>
          <w:rFonts w:hint="default" w:ascii="Times New Roman" w:hAnsi="Times New Roman" w:eastAsia="宋体" w:cs="Times New Roman"/>
          <w:b/>
          <w:color w:val="auto"/>
          <w:sz w:val="24"/>
          <w:szCs w:val="24"/>
        </w:rPr>
        <w:t>1.1概述</w:t>
      </w:r>
      <w:bookmarkEnd w:id="18"/>
      <w:bookmarkEnd w:id="1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山西省繁峙县3000m³生活污水应急处理站项目位于</w:t>
      </w:r>
      <w:r>
        <w:rPr>
          <w:rFonts w:hint="default" w:ascii="Times New Roman" w:hAnsi="Times New Roman" w:eastAsia="宋体" w:cs="Times New Roman"/>
          <w:color w:val="auto"/>
          <w:spacing w:val="4"/>
          <w:sz w:val="24"/>
          <w:szCs w:val="24"/>
        </w:rPr>
        <w:t>繁峙县滨河北大道和双拥路交叉口西北角</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Cs/>
          <w:color w:val="auto"/>
          <w:sz w:val="24"/>
          <w:szCs w:val="24"/>
        </w:rPr>
        <w:t>本次评价按照《环境影响评价技术导则  土壤环境（试行）》（HJ964-2018），对本项目</w:t>
      </w:r>
      <w:r>
        <w:rPr>
          <w:rFonts w:hint="default" w:ascii="Times New Roman" w:hAnsi="Times New Roman" w:eastAsia="宋体" w:cs="Times New Roman"/>
          <w:bCs/>
          <w:color w:val="auto"/>
          <w:sz w:val="24"/>
          <w:szCs w:val="24"/>
          <w:lang w:eastAsia="zh-CN"/>
        </w:rPr>
        <w:t>站区</w:t>
      </w:r>
      <w:r>
        <w:rPr>
          <w:rFonts w:hint="default" w:ascii="Times New Roman" w:hAnsi="Times New Roman" w:eastAsia="宋体" w:cs="Times New Roman"/>
          <w:bCs/>
          <w:color w:val="auto"/>
          <w:sz w:val="24"/>
          <w:szCs w:val="24"/>
        </w:rPr>
        <w:t>及周边的土壤环境进行了现状调查与评价。在调查的基础上，进行了土壤环境的现状监测，并根据</w:t>
      </w:r>
      <w:r>
        <w:rPr>
          <w:rFonts w:hint="default" w:ascii="Times New Roman" w:hAnsi="Times New Roman" w:eastAsia="宋体" w:cs="Times New Roman"/>
          <w:bCs/>
          <w:color w:val="auto"/>
          <w:sz w:val="24"/>
          <w:szCs w:val="24"/>
          <w:lang w:eastAsia="zh-CN"/>
        </w:rPr>
        <w:t>站区</w:t>
      </w:r>
      <w:r>
        <w:rPr>
          <w:rFonts w:hint="default" w:ascii="Times New Roman" w:hAnsi="Times New Roman" w:eastAsia="宋体" w:cs="Times New Roman"/>
          <w:bCs/>
          <w:color w:val="auto"/>
          <w:sz w:val="24"/>
          <w:szCs w:val="24"/>
        </w:rPr>
        <w:t>实际提出了保护措施。</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0"/>
        <w:rPr>
          <w:rFonts w:hint="default" w:ascii="Times New Roman" w:hAnsi="Times New Roman" w:eastAsia="宋体" w:cs="Times New Roman"/>
          <w:b/>
          <w:color w:val="auto"/>
          <w:sz w:val="24"/>
          <w:szCs w:val="24"/>
        </w:rPr>
      </w:pPr>
      <w:bookmarkStart w:id="20" w:name="_Toc17497"/>
      <w:bookmarkStart w:id="21" w:name="_Toc28364"/>
      <w:r>
        <w:rPr>
          <w:rFonts w:hint="default" w:ascii="Times New Roman" w:hAnsi="Times New Roman" w:eastAsia="宋体" w:cs="Times New Roman"/>
          <w:b/>
          <w:color w:val="auto"/>
          <w:sz w:val="24"/>
          <w:szCs w:val="24"/>
        </w:rPr>
        <w:t>1.2土壤环境评价等级、评价范围确定及敏感目标</w:t>
      </w:r>
      <w:bookmarkEnd w:id="20"/>
      <w:bookmarkEnd w:id="21"/>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outlineLvl w:val="1"/>
        <w:rPr>
          <w:rFonts w:hint="default" w:ascii="Times New Roman" w:hAnsi="Times New Roman" w:eastAsia="宋体" w:cs="Times New Roman"/>
          <w:b/>
          <w:color w:val="auto"/>
          <w:sz w:val="24"/>
          <w:szCs w:val="24"/>
        </w:rPr>
      </w:pPr>
      <w:bookmarkStart w:id="22" w:name="_Toc26886"/>
      <w:bookmarkStart w:id="23" w:name="_Toc11545"/>
      <w:r>
        <w:rPr>
          <w:rFonts w:hint="default" w:ascii="Times New Roman" w:hAnsi="Times New Roman" w:eastAsia="宋体" w:cs="Times New Roman"/>
          <w:b/>
          <w:color w:val="auto"/>
          <w:sz w:val="24"/>
          <w:szCs w:val="24"/>
        </w:rPr>
        <w:t>1.2.1评价等级确定</w:t>
      </w:r>
      <w:bookmarkEnd w:id="22"/>
      <w:bookmarkEnd w:id="2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rPr>
        <w:t>根据《环境影响评价技术导则  土壤环境</w:t>
      </w:r>
      <w:r>
        <w:rPr>
          <w:rFonts w:hint="default" w:ascii="Times New Roman" w:hAnsi="Times New Roman" w:eastAsia="宋体" w:cs="Times New Roman"/>
          <w:bCs/>
          <w:color w:val="auto"/>
          <w:sz w:val="24"/>
          <w:szCs w:val="24"/>
        </w:rPr>
        <w:t>（试行）</w:t>
      </w:r>
      <w:r>
        <w:rPr>
          <w:rFonts w:hint="default" w:ascii="Times New Roman" w:hAnsi="Times New Roman" w:eastAsia="宋体" w:cs="Times New Roman"/>
          <w:color w:val="auto"/>
          <w:sz w:val="24"/>
        </w:rPr>
        <w:t>》（HJ964-2018）附录A“土壤环境影响评价项目类别”，本项目属于“</w:t>
      </w:r>
      <w:r>
        <w:rPr>
          <w:rFonts w:hint="default" w:ascii="Times New Roman" w:hAnsi="Times New Roman" w:eastAsia="宋体" w:cs="Times New Roman"/>
          <w:color w:val="auto"/>
          <w:spacing w:val="6"/>
          <w:sz w:val="24"/>
        </w:rPr>
        <w:t>电力热力燃气及水生产和供应业</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6"/>
          <w:sz w:val="24"/>
        </w:rPr>
        <w:t>中“生活污水处理；燃煤锅炉总容量65t/h（不含）以上的热力生产工程；燃油锅炉总容量65t/h（不含）以上的热力生产工程”类</w:t>
      </w:r>
      <w:r>
        <w:rPr>
          <w:rFonts w:hint="default" w:ascii="Times New Roman" w:hAnsi="Times New Roman" w:eastAsia="宋体" w:cs="Times New Roman"/>
          <w:color w:val="auto"/>
          <w:sz w:val="24"/>
        </w:rPr>
        <w:t>，为Ⅲ类项目；</w:t>
      </w:r>
      <w:r>
        <w:rPr>
          <w:rFonts w:hint="default" w:ascii="Times New Roman" w:hAnsi="Times New Roman" w:eastAsia="宋体" w:cs="Times New Roman"/>
          <w:bCs/>
          <w:color w:val="auto"/>
          <w:sz w:val="24"/>
          <w:szCs w:val="24"/>
        </w:rPr>
        <w:t>属于污染影响型，本</w:t>
      </w: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color w:val="auto"/>
          <w:sz w:val="24"/>
        </w:rPr>
        <w:t>占地面积为</w:t>
      </w:r>
      <w:r>
        <w:rPr>
          <w:rFonts w:hint="default" w:ascii="Times New Roman" w:hAnsi="Times New Roman" w:eastAsia="宋体" w:cs="Times New Roman"/>
          <w:color w:val="auto"/>
          <w:sz w:val="24"/>
          <w:lang w:val="en-US" w:eastAsia="zh-CN"/>
        </w:rPr>
        <w:t>0.33h</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，属于</w:t>
      </w:r>
      <w:r>
        <w:rPr>
          <w:rFonts w:hint="default" w:ascii="Times New Roman" w:hAnsi="Times New Roman" w:eastAsia="宋体" w:cs="Times New Roman"/>
          <w:color w:val="auto"/>
          <w:sz w:val="24"/>
          <w:lang w:eastAsia="zh-CN"/>
        </w:rPr>
        <w:t>小</w:t>
      </w:r>
      <w:r>
        <w:rPr>
          <w:rFonts w:hint="default" w:ascii="Times New Roman" w:hAnsi="Times New Roman" w:eastAsia="宋体" w:cs="Times New Roman"/>
          <w:color w:val="auto"/>
          <w:sz w:val="24"/>
        </w:rPr>
        <w:t>型</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5hm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）、建设项目周围有</w:t>
      </w:r>
      <w:r>
        <w:rPr>
          <w:rFonts w:hint="default" w:ascii="Times New Roman" w:hAnsi="Times New Roman" w:eastAsia="宋体" w:cs="Times New Roman"/>
          <w:bCs/>
          <w:color w:val="auto"/>
          <w:sz w:val="24"/>
          <w:szCs w:val="24"/>
          <w:lang w:eastAsia="zh-CN"/>
        </w:rPr>
        <w:t>耕地</w:t>
      </w:r>
      <w:r>
        <w:rPr>
          <w:rFonts w:hint="default" w:ascii="Times New Roman" w:hAnsi="Times New Roman" w:eastAsia="宋体" w:cs="Times New Roman"/>
          <w:bCs/>
          <w:color w:val="auto"/>
          <w:sz w:val="24"/>
          <w:szCs w:val="24"/>
        </w:rPr>
        <w:t>，土壤环境敏感程度为敏感。根据污染影响型敏感程度分级表1-1与污染影响型评价等级划分表1-2，本项目土壤环境评价工作等级为三级。</w:t>
      </w: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表1-1   污染影响型敏感程度分级表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3"/>
        <w:gridCol w:w="8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809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判别依据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809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809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建设项目周边存在其他土壤环境敏感目标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809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其他情况</w:t>
            </w:r>
          </w:p>
        </w:tc>
      </w:tr>
    </w:tbl>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pict>
          <v:shape id="文本框 19" o:spid="_x0000_s2134" o:spt="202" type="#_x0000_t202" style="position:absolute;left:0pt;margin-left:62.15pt;margin-top:19.25pt;height:24.05pt;width:49.8pt;z-index:251674624;mso-width-relative:page;mso-height-relative:page;" filled="f" stroked="f" coordsize="21600,21600" o:gfxdata="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nxavjWAAAACQEAAA8AAAAAAAAAAQAgAAAAIgAAAGRycy9k&#10;b3ducmV2LnhtbFBLAQIUABQAAAAIAIdO4kAU9RmgkgEAAA8DAAAOAAAAAAAAAAEAIAAAACUBAABk&#10;cnMvZTJvRG9jLnhtbFBLBQYAAAAABgAGAFkBAAApBQAAAAA=&#10;">
            <v:path/>
            <v:fill on="f" focussize="0,0"/>
            <v:stroke on="f" joinstyle="miter"/>
            <v:imagedata o:title=""/>
            <o:lock v:ext="edit"/>
            <v:textbox>
              <w:txbxContent>
                <w:p>
                  <w:pPr>
                    <w:rPr>
                      <w:sz w:val="15"/>
                      <w:szCs w:val="15"/>
                    </w:rPr>
                  </w:pPr>
                  <w:r>
                    <w:rPr>
                      <w:rFonts w:hint="eastAsia"/>
                      <w:sz w:val="15"/>
                      <w:szCs w:val="15"/>
                    </w:rPr>
                    <w:t>占地规模</w:t>
                  </w:r>
                </w:p>
              </w:txbxContent>
            </v:textbox>
          </v:shape>
        </w:pict>
      </w:r>
      <w:r>
        <w:rPr>
          <w:rFonts w:hint="default" w:ascii="Times New Roman" w:hAnsi="Times New Roman" w:eastAsia="宋体" w:cs="Times New Roman"/>
          <w:b/>
          <w:bCs/>
          <w:color w:val="auto"/>
          <w:sz w:val="24"/>
        </w:rPr>
        <w:t>表1-2   污染影响型评价工作等级划分表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3"/>
        <w:gridCol w:w="778"/>
        <w:gridCol w:w="779"/>
        <w:gridCol w:w="780"/>
        <w:gridCol w:w="778"/>
        <w:gridCol w:w="781"/>
        <w:gridCol w:w="780"/>
        <w:gridCol w:w="778"/>
        <w:gridCol w:w="779"/>
        <w:gridCol w:w="7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1"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pict>
                <v:shape id="文本框 15" o:spid="_x0000_s2135" o:spt="202" type="#_x0000_t202" style="position:absolute;left:0pt;margin-left:2.1pt;margin-top:-0.85pt;height:20.2pt;width:49.8pt;z-index:251675648;mso-width-relative:page;mso-height-relative:page;" filled="f" stroked="f" coordsize="21600,21600" o:gfxdata="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Pj2dUAAAAHAQAADwAAAAAAAAABACAAAAAiAAAAZHJzL2Rv&#10;d25yZXYueG1sUEsBAhQAFAAAAAgAh07iQNSv+a2SAQAADwMAAA4AAAAAAAAAAQAgAAAAJAEAAGRy&#10;cy9lMm9Eb2MueG1sUEsFBgAAAAAGAAYAWQEAACgFAAAAAA==&#10;">
                  <v:path/>
                  <v:fill on="f" focussize="0,0"/>
                  <v:stroke on="f" joinstyle="miter"/>
                  <v:imagedata o:title=""/>
                  <o:lock v:ext="edit"/>
                  <v:textbox>
                    <w:txbxContent>
                      <w:p>
                        <w:pPr>
                          <w:spacing w:line="240" w:lineRule="atLeast"/>
                          <w:jc w:val="center"/>
                          <w:rPr>
                            <w:sz w:val="15"/>
                            <w:szCs w:val="15"/>
                          </w:rPr>
                        </w:pPr>
                        <w:r>
                          <w:rPr>
                            <w:rFonts w:hint="eastAsia"/>
                            <w:sz w:val="15"/>
                            <w:szCs w:val="15"/>
                          </w:rPr>
                          <w:t>工作等级</w:t>
                        </w:r>
                      </w:p>
                    </w:txbxContent>
                  </v:textbox>
                </v:shape>
              </w:pict>
            </w:r>
            <w:r>
              <w:rPr>
                <w:rFonts w:hint="default" w:ascii="Times New Roman" w:hAnsi="Times New Roman" w:eastAsia="宋体" w:cs="Times New Roman"/>
                <w:color w:val="auto"/>
                <w:sz w:val="21"/>
                <w:szCs w:val="21"/>
              </w:rPr>
              <w:pict>
                <v:shape id="文本框 18" o:spid="_x0000_s2136" o:spt="202" type="#_x0000_t202" style="position:absolute;left:0pt;margin-left:-4.5pt;margin-top:18.7pt;height:20.2pt;width:49.8pt;z-index:251676672;mso-width-relative:page;mso-height-relative:page;" filled="f" stroked="f" coordsize="21600,21600" o:gfxdata="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5EIKHWAAAABwEAAA8AAAAAAAAAAQAgAAAAIgAAAGRycy9k&#10;b3ducmV2LnhtbFBLAQIUABQAAAAIAIdO4kBHHHdekgEAAA8DAAAOAAAAAAAAAAEAIAAAACUBAABk&#10;cnMvZTJvRG9jLnhtbFBLBQYAAAAABgAGAFkBAAApBQAAAAA=&#10;">
                  <v:path/>
                  <v:fill on="f" focussize="0,0"/>
                  <v:stroke on="f" joinstyle="miter"/>
                  <v:imagedata o:title=""/>
                  <o:lock v:ext="edit"/>
                  <v:textbox>
                    <w:txbxContent>
                      <w:p>
                        <w:pPr>
                          <w:spacing w:line="240" w:lineRule="atLeast"/>
                          <w:jc w:val="center"/>
                          <w:rPr>
                            <w:sz w:val="15"/>
                            <w:szCs w:val="15"/>
                          </w:rPr>
                        </w:pPr>
                        <w:r>
                          <w:rPr>
                            <w:rFonts w:hint="eastAsia"/>
                            <w:sz w:val="15"/>
                            <w:szCs w:val="15"/>
                          </w:rPr>
                          <w:t>敏感程度</w:t>
                        </w:r>
                      </w:p>
                    </w:txbxContent>
                  </v:textbox>
                </v:shape>
              </w:pict>
            </w:r>
            <w:r>
              <w:rPr>
                <w:rFonts w:hint="default" w:ascii="Times New Roman" w:hAnsi="Times New Roman" w:eastAsia="宋体" w:cs="Times New Roman"/>
                <w:color w:val="auto"/>
                <w:sz w:val="21"/>
                <w:szCs w:val="21"/>
              </w:rPr>
              <w:pict>
                <v:shape id="直接箭头连接符 16" o:spid="_x0000_s2137" o:spt="32" type="#_x0000_t32" style="position:absolute;left:0pt;margin-left:33.45pt;margin-top:0.35pt;height:34.5pt;width:65.25pt;z-index:251672576;mso-width-relative:page;mso-height-relative:page;" filled="f" coordsize="21600,21600" o:gfxdata="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9NxY&#10;1AAAAAYBAAAPAAAAAAAAAAEAIAAAACIAAABkcnMvZG93bnJldi54bWxQSwECFAAUAAAACACHTuJA&#10;UarEM+wBAACyAwAADgAAAAAAAAABACAAAAAjAQAAZHJzL2Uyb0RvYy54bWxQSwUGAAAAAAYABgBZ&#10;AQAAgQUAAAAA&#10;">
                  <v:path arrowok="t"/>
                  <v:fill on="f" focussize="0,0"/>
                  <v:stroke/>
                  <v:imagedata o:title=""/>
                  <o:lock v:ext="edit"/>
                </v:shape>
              </w:pict>
            </w:r>
            <w:r>
              <w:rPr>
                <w:rFonts w:hint="default" w:ascii="Times New Roman" w:hAnsi="Times New Roman" w:eastAsia="宋体" w:cs="Times New Roman"/>
                <w:color w:val="auto"/>
                <w:sz w:val="21"/>
                <w:szCs w:val="21"/>
              </w:rPr>
              <w:pict>
                <v:shape id="直接箭头连接符 17" o:spid="_x0000_s2138" o:spt="32" type="#_x0000_t32" style="position:absolute;left:0pt;margin-left:-4.5pt;margin-top:12.45pt;height:22.5pt;width:103.5pt;z-index:251673600;mso-width-relative:page;mso-height-relative:page;" filled="f" coordsize="21600,21600" o:gfxdata="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9R8&#10;nNYAAAAIAQAADwAAAAAAAAABACAAAAAiAAAAZHJzL2Rvd25yZXYueG1sUEsBAhQAFAAAAAgAh07i&#10;QNB9a5LrAQAAswMAAA4AAAAAAAAAAQAgAAAAJQEAAGRycy9lMm9Eb2MueG1sUEsFBgAAAAAGAAYA&#10;WQEAAIIFAAAAAA==&#10;">
                  <v:path arrowok="t"/>
                  <v:fill on="f" focussize="0,0"/>
                  <v:stroke/>
                  <v:imagedata o:title=""/>
                  <o:lock v:ext="edit"/>
                </v:shape>
              </w:pict>
            </w:r>
          </w:p>
        </w:tc>
        <w:tc>
          <w:tcPr>
            <w:tcW w:w="2139"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w:t>
            </w:r>
          </w:p>
        </w:tc>
        <w:tc>
          <w:tcPr>
            <w:tcW w:w="2141"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ROMAN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II</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w:t>
            </w:r>
          </w:p>
        </w:tc>
        <w:tc>
          <w:tcPr>
            <w:tcW w:w="2133"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ROMAN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III</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tc>
        <w:tc>
          <w:tcPr>
            <w:tcW w:w="7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tc>
        <w:tc>
          <w:tcPr>
            <w:tcW w:w="71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tc>
        <w:tc>
          <w:tcPr>
            <w:tcW w:w="7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70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2" w:type="dxa"/>
            <w:noWrap/>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3" w:type="dxa"/>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08" w:type="dxa"/>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2" w:type="dxa"/>
            <w:noWrap/>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3" w:type="dxa"/>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08" w:type="dxa"/>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2"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2" w:type="dxa"/>
            <w:noWrap/>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3" w:type="dxa"/>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8" w:type="dxa"/>
            <w:noWrap/>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4" w:type="dxa"/>
            <w:gridSpan w:val="10"/>
            <w:noWrap/>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注：“—”表示可不开展土壤环境影响评价工作</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1"/>
        <w:rPr>
          <w:rFonts w:hint="default" w:ascii="Times New Roman" w:hAnsi="Times New Roman" w:eastAsia="宋体" w:cs="Times New Roman"/>
          <w:b/>
          <w:color w:val="auto"/>
          <w:sz w:val="24"/>
        </w:rPr>
      </w:pPr>
      <w:bookmarkStart w:id="24" w:name="_Toc23637"/>
      <w:bookmarkStart w:id="25" w:name="_Toc17077"/>
      <w:r>
        <w:rPr>
          <w:rFonts w:hint="default" w:ascii="Times New Roman" w:hAnsi="Times New Roman" w:eastAsia="宋体" w:cs="Times New Roman"/>
          <w:b/>
          <w:color w:val="auto"/>
          <w:sz w:val="24"/>
        </w:rPr>
        <w:t>1.2.2评价范围及敏感目标分布</w:t>
      </w:r>
      <w:bookmarkEnd w:id="24"/>
      <w:bookmarkEnd w:id="2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本项目评价等级为三级，根据导则现状调查范围规定，污染影响型项目三级评价以</w:t>
      </w:r>
      <w:r>
        <w:rPr>
          <w:rFonts w:hint="default" w:ascii="Times New Roman" w:hAnsi="Times New Roman" w:eastAsia="宋体" w:cs="Times New Roman"/>
          <w:bCs/>
          <w:color w:val="auto"/>
          <w:sz w:val="24"/>
          <w:szCs w:val="24"/>
          <w:lang w:eastAsia="zh-CN"/>
        </w:rPr>
        <w:t>站区</w:t>
      </w:r>
      <w:r>
        <w:rPr>
          <w:rFonts w:hint="default" w:ascii="Times New Roman" w:hAnsi="Times New Roman" w:eastAsia="宋体" w:cs="Times New Roman"/>
          <w:bCs/>
          <w:color w:val="auto"/>
          <w:sz w:val="24"/>
        </w:rPr>
        <w:t>及周边外扩0.05km为评价范围，现状调查范围表见1-3。</w:t>
      </w: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表1-3现状调查范围</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8"/>
        <w:gridCol w:w="1543"/>
        <w:gridCol w:w="2963"/>
        <w:gridCol w:w="29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1413"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影响类型</w:t>
            </w:r>
          </w:p>
        </w:tc>
        <w:tc>
          <w:tcPr>
            <w:tcW w:w="5427" w:type="dxa"/>
            <w:gridSpan w:val="2"/>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1413"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7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w:t>
            </w: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4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生态影响型</w:t>
            </w:r>
          </w:p>
        </w:tc>
        <w:tc>
          <w:tcPr>
            <w:tcW w:w="2713"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w:t>
            </w: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14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污染影响型</w:t>
            </w:r>
          </w:p>
        </w:tc>
        <w:tc>
          <w:tcPr>
            <w:tcW w:w="2713"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4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生态影响型</w:t>
            </w:r>
          </w:p>
        </w:tc>
        <w:tc>
          <w:tcPr>
            <w:tcW w:w="2713"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14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污染影响型</w:t>
            </w:r>
          </w:p>
        </w:tc>
        <w:tc>
          <w:tcPr>
            <w:tcW w:w="2713"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4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生态影响型</w:t>
            </w:r>
          </w:p>
        </w:tc>
        <w:tc>
          <w:tcPr>
            <w:tcW w:w="2713"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141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污染影响型</w:t>
            </w:r>
          </w:p>
        </w:tc>
        <w:tc>
          <w:tcPr>
            <w:tcW w:w="2713"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271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0.05km范围内</w:t>
            </w:r>
          </w:p>
        </w:tc>
      </w:tr>
    </w:tbl>
    <w:p>
      <w:pPr>
        <w:keepNext w:val="0"/>
        <w:keepLines w:val="0"/>
        <w:pageBreakBefore w:val="0"/>
        <w:widowControl w:val="0"/>
        <w:wordWrap/>
        <w:topLinePunct w:val="0"/>
        <w:autoSpaceDE/>
        <w:autoSpaceDN/>
        <w:bidi w:val="0"/>
        <w:adjustRightInd/>
        <w:snapToGrid/>
        <w:spacing w:line="480" w:lineRule="exact"/>
        <w:jc w:val="left"/>
        <w:textAlignment w:val="baseline"/>
        <w:outlineLvl w:val="0"/>
        <w:rPr>
          <w:rFonts w:hint="default" w:ascii="Times New Roman" w:hAnsi="Times New Roman" w:eastAsia="宋体" w:cs="Times New Roman"/>
          <w:b/>
          <w:color w:val="auto"/>
          <w:sz w:val="24"/>
          <w:szCs w:val="24"/>
        </w:rPr>
      </w:pPr>
      <w:bookmarkStart w:id="26" w:name="_Toc1268"/>
      <w:bookmarkStart w:id="27" w:name="_Toc30254"/>
      <w:r>
        <w:rPr>
          <w:rFonts w:hint="default" w:ascii="Times New Roman" w:hAnsi="Times New Roman" w:eastAsia="宋体" w:cs="Times New Roman"/>
          <w:b/>
          <w:color w:val="auto"/>
          <w:sz w:val="24"/>
          <w:szCs w:val="24"/>
        </w:rPr>
        <w:t>1.3 土壤环境质量现状监测与评价</w:t>
      </w:r>
      <w:bookmarkEnd w:id="26"/>
      <w:bookmarkEnd w:id="27"/>
    </w:p>
    <w:p>
      <w:pPr>
        <w:keepNext w:val="0"/>
        <w:keepLines w:val="0"/>
        <w:pageBreakBefore w:val="0"/>
        <w:widowControl w:val="0"/>
        <w:wordWrap/>
        <w:topLinePunct w:val="0"/>
        <w:autoSpaceDE/>
        <w:autoSpaceDN/>
        <w:bidi w:val="0"/>
        <w:adjustRightInd/>
        <w:snapToGrid/>
        <w:spacing w:line="480" w:lineRule="exact"/>
        <w:ind w:firstLine="482" w:firstLineChars="200"/>
        <w:jc w:val="left"/>
        <w:textAlignment w:val="baseline"/>
        <w:outlineLvl w:val="1"/>
        <w:rPr>
          <w:rFonts w:hint="default" w:ascii="Times New Roman" w:hAnsi="Times New Roman" w:eastAsia="宋体" w:cs="Times New Roman"/>
          <w:b/>
          <w:color w:val="auto"/>
          <w:sz w:val="24"/>
          <w:szCs w:val="24"/>
        </w:rPr>
      </w:pPr>
      <w:bookmarkStart w:id="28" w:name="_Toc7427"/>
      <w:bookmarkStart w:id="29" w:name="_Toc16424"/>
      <w:r>
        <w:rPr>
          <w:rFonts w:hint="default" w:ascii="Times New Roman" w:hAnsi="Times New Roman" w:eastAsia="宋体" w:cs="Times New Roman"/>
          <w:b/>
          <w:color w:val="auto"/>
          <w:sz w:val="24"/>
          <w:szCs w:val="24"/>
        </w:rPr>
        <w:t>1.3.1 现状监测</w:t>
      </w:r>
      <w:bookmarkEnd w:id="28"/>
      <w:bookmarkEnd w:id="29"/>
    </w:p>
    <w:p>
      <w:pPr>
        <w:keepNext w:val="0"/>
        <w:keepLines w:val="0"/>
        <w:pageBreakBefore w:val="0"/>
        <w:widowControl w:val="0"/>
        <w:wordWrap/>
        <w:topLinePunct w:val="0"/>
        <w:autoSpaceDE/>
        <w:autoSpaceDN/>
        <w:bidi w:val="0"/>
        <w:adjustRightInd/>
        <w:snapToGrid/>
        <w:spacing w:line="480" w:lineRule="exact"/>
        <w:ind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依据《环境影响评价技术导则 土壤环境》试行(HJ964-2018)相关要求，受繁峙县市政工程服务中心委托，2020年4月10日，杭州普洛塞斯检测科技有限公司对本项目进行了现场土壤取样工作，取样频次为1次。</w:t>
      </w:r>
    </w:p>
    <w:p>
      <w:pPr>
        <w:keepNext w:val="0"/>
        <w:keepLines w:val="0"/>
        <w:pageBreakBefore w:val="0"/>
        <w:widowControl w:val="0"/>
        <w:wordWrap/>
        <w:topLinePunct w:val="0"/>
        <w:autoSpaceDE/>
        <w:autoSpaceDN/>
        <w:bidi w:val="0"/>
        <w:adjustRightInd/>
        <w:snapToGrid/>
        <w:spacing w:line="480" w:lineRule="exact"/>
        <w:ind w:firstLine="480" w:firstLineChars="200"/>
        <w:jc w:val="left"/>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（1）监测点布设</w:t>
      </w:r>
    </w:p>
    <w:p>
      <w:pPr>
        <w:pStyle w:val="31"/>
        <w:keepNext w:val="0"/>
        <w:keepLines w:val="0"/>
        <w:pageBreakBefore w:val="0"/>
        <w:widowControl w:val="0"/>
        <w:kinsoku w:val="0"/>
        <w:wordWrap/>
        <w:overflowPunct w:val="0"/>
        <w:topLinePunct w:val="0"/>
        <w:autoSpaceDE/>
        <w:autoSpaceDN/>
        <w:bidi w:val="0"/>
        <w:adjustRightInd/>
        <w:snapToGrid/>
        <w:spacing w:after="0" w:line="480" w:lineRule="exact"/>
        <w:ind w:firstLine="48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根据建设项目土壤环境影响类型、土地利用类型、评价工作等级，采用均布性与代表性相结合的原则，使监测点充分反映建设项目调查评价范围内的土壤环境现状。</w:t>
      </w:r>
    </w:p>
    <w:p>
      <w:pPr>
        <w:pStyle w:val="31"/>
        <w:keepNext w:val="0"/>
        <w:keepLines w:val="0"/>
        <w:pageBreakBefore w:val="0"/>
        <w:widowControl w:val="0"/>
        <w:kinsoku w:val="0"/>
        <w:wordWrap/>
        <w:overflowPunct w:val="0"/>
        <w:topLinePunct w:val="0"/>
        <w:autoSpaceDE/>
        <w:autoSpaceDN/>
        <w:bidi w:val="0"/>
        <w:adjustRightInd/>
        <w:snapToGrid/>
        <w:spacing w:after="0" w:line="480" w:lineRule="exact"/>
        <w:ind w:firstLine="48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调查评价范围内，每个土壤类型至少设置 1个表层样监测点，尽量布置在未受人为污染或相对未受污染的区域。</w:t>
      </w:r>
    </w:p>
    <w:p>
      <w:pPr>
        <w:pStyle w:val="31"/>
        <w:keepNext w:val="0"/>
        <w:keepLines w:val="0"/>
        <w:pageBreakBefore w:val="0"/>
        <w:widowControl w:val="0"/>
        <w:kinsoku w:val="0"/>
        <w:wordWrap/>
        <w:overflowPunct w:val="0"/>
        <w:topLinePunct w:val="0"/>
        <w:autoSpaceDE/>
        <w:autoSpaceDN/>
        <w:bidi w:val="0"/>
        <w:adjustRightInd/>
        <w:snapToGrid/>
        <w:spacing w:after="0" w:line="480" w:lineRule="exact"/>
        <w:ind w:firstLine="48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三级评价监测点布设具体要求参见表1-4。</w:t>
      </w: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表1-4   土壤环境现状监测布点</w:t>
      </w:r>
    </w:p>
    <w:tbl>
      <w:tblPr>
        <w:tblStyle w:val="7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997"/>
        <w:gridCol w:w="1660"/>
        <w:gridCol w:w="3651"/>
        <w:gridCol w:w="28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475" w:type="dxa"/>
            <w:gridSpan w:val="2"/>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3401" w:type="dxa"/>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占地范围内</w:t>
            </w:r>
            <w:r>
              <w:rPr>
                <w:rFonts w:hint="default" w:ascii="Times New Roman" w:hAnsi="Times New Roman" w:eastAsia="宋体" w:cs="Times New Roman"/>
                <w:color w:val="auto"/>
                <w:sz w:val="21"/>
                <w:szCs w:val="21"/>
                <w:vertAlign w:val="superscript"/>
              </w:rPr>
              <w:t>a</w:t>
            </w:r>
          </w:p>
        </w:tc>
        <w:tc>
          <w:tcPr>
            <w:tcW w:w="2628" w:type="dxa"/>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29" w:type="dxa"/>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546" w:type="dxa"/>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污染影响型</w:t>
            </w:r>
          </w:p>
        </w:tc>
        <w:tc>
          <w:tcPr>
            <w:tcW w:w="3401" w:type="dxa"/>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3个表层样点</w:t>
            </w:r>
          </w:p>
        </w:tc>
        <w:tc>
          <w:tcPr>
            <w:tcW w:w="2628" w:type="dxa"/>
            <w:noWrap/>
            <w:vAlign w:val="center"/>
          </w:tcPr>
          <w:p>
            <w:pPr>
              <w:pStyle w:val="363"/>
              <w:kinsoku w:val="0"/>
              <w:overflowPunct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504" w:type="dxa"/>
            <w:gridSpan w:val="4"/>
            <w:noWrap/>
          </w:tcPr>
          <w:p>
            <w:pPr>
              <w:pStyle w:val="363"/>
              <w:kinsoku w:val="0"/>
              <w:overflowPunct w:val="0"/>
              <w:spacing w:line="240" w:lineRule="auto"/>
              <w:ind w:firstLine="105" w:firstLine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 表层样在0～0.2m取样。</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项目占地为</w:t>
      </w:r>
      <w:r>
        <w:rPr>
          <w:rFonts w:hint="default" w:ascii="Times New Roman" w:hAnsi="Times New Roman" w:eastAsia="宋体" w:cs="Times New Roman"/>
          <w:color w:val="auto"/>
          <w:sz w:val="24"/>
          <w:lang w:val="en-US" w:eastAsia="zh-CN"/>
        </w:rPr>
        <w:t>0.33</w:t>
      </w:r>
      <w:r>
        <w:rPr>
          <w:rFonts w:hint="default" w:ascii="Times New Roman" w:hAnsi="Times New Roman" w:eastAsia="宋体" w:cs="Times New Roman"/>
          <w:color w:val="auto"/>
          <w:sz w:val="24"/>
        </w:rPr>
        <w:t>hm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，依据表3-1，占地范围内需布设3 个表层样点。在考虑本工程平面布置的基础上，占地范围内土壤监测点布设位置和基本情况参见图1-1和表1-5。</w:t>
      </w: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表1-5  占地范围内监测点布设情况表</w:t>
      </w:r>
    </w:p>
    <w:tbl>
      <w:tblPr>
        <w:tblStyle w:val="77"/>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28" w:type="dxa"/>
          <w:bottom w:w="0" w:type="dxa"/>
          <w:right w:w="28" w:type="dxa"/>
        </w:tblCellMar>
      </w:tblPr>
      <w:tblGrid>
        <w:gridCol w:w="557"/>
        <w:gridCol w:w="725"/>
        <w:gridCol w:w="2332"/>
        <w:gridCol w:w="2113"/>
        <w:gridCol w:w="2038"/>
        <w:gridCol w:w="136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1274" w:type="dxa"/>
            <w:gridSpan w:val="2"/>
            <w:vMerge w:val="restart"/>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点号</w:t>
            </w:r>
          </w:p>
        </w:tc>
        <w:tc>
          <w:tcPr>
            <w:tcW w:w="2317" w:type="dxa"/>
            <w:vMerge w:val="restart"/>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相对位置</w:t>
            </w:r>
          </w:p>
        </w:tc>
        <w:tc>
          <w:tcPr>
            <w:tcW w:w="4125" w:type="dxa"/>
            <w:gridSpan w:val="2"/>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1355" w:type="dxa"/>
            <w:vMerge w:val="restart"/>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取样深度</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1274" w:type="dxa"/>
            <w:gridSpan w:val="2"/>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c>
          <w:tcPr>
            <w:tcW w:w="2317" w:type="dxa"/>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c>
          <w:tcPr>
            <w:tcW w:w="210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2025"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1355" w:type="dxa"/>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vMerge w:val="restart"/>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表层</w:t>
            </w:r>
          </w:p>
        </w:tc>
        <w:tc>
          <w:tcPr>
            <w:tcW w:w="72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17"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占地范围内项目北侧</w:t>
            </w:r>
          </w:p>
        </w:tc>
        <w:tc>
          <w:tcPr>
            <w:tcW w:w="210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113°14'27.83"</w:t>
            </w:r>
          </w:p>
        </w:tc>
        <w:tc>
          <w:tcPr>
            <w:tcW w:w="2025"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39°10'48.93"</w:t>
            </w:r>
          </w:p>
        </w:tc>
        <w:tc>
          <w:tcPr>
            <w:tcW w:w="1355" w:type="dxa"/>
            <w:vMerge w:val="restart"/>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c>
          <w:tcPr>
            <w:tcW w:w="72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17"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占地范围内项目中间</w:t>
            </w:r>
          </w:p>
        </w:tc>
        <w:tc>
          <w:tcPr>
            <w:tcW w:w="210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113°14'28.01"</w:t>
            </w:r>
          </w:p>
        </w:tc>
        <w:tc>
          <w:tcPr>
            <w:tcW w:w="2025"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39°10'48.57"</w:t>
            </w:r>
          </w:p>
        </w:tc>
        <w:tc>
          <w:tcPr>
            <w:tcW w:w="1355" w:type="dxa"/>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c>
          <w:tcPr>
            <w:tcW w:w="72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17"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占地范围内项目南侧</w:t>
            </w:r>
          </w:p>
        </w:tc>
        <w:tc>
          <w:tcPr>
            <w:tcW w:w="2100"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113°14'28.04"</w:t>
            </w:r>
          </w:p>
        </w:tc>
        <w:tc>
          <w:tcPr>
            <w:tcW w:w="2025" w:type="dxa"/>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39°10'48.04"</w:t>
            </w:r>
          </w:p>
        </w:tc>
        <w:tc>
          <w:tcPr>
            <w:tcW w:w="1355" w:type="dxa"/>
            <w:vMerge w:val="continue"/>
            <w:shd w:val="clear" w:color="auto" w:fill="FFFFFF"/>
            <w:noWrap/>
            <w:vAlign w:val="center"/>
          </w:tcPr>
          <w:p>
            <w:pPr>
              <w:spacing w:line="24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（2）监测时间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zCs w:val="24"/>
        </w:rPr>
        <w:t>2020年4月10日</w:t>
      </w:r>
      <w:r>
        <w:rPr>
          <w:rFonts w:hint="default" w:ascii="Times New Roman" w:hAnsi="Times New Roman" w:eastAsia="宋体" w:cs="Times New Roman"/>
          <w:bCs/>
          <w:color w:val="auto"/>
          <w:sz w:val="24"/>
        </w:rPr>
        <w:t>，采样一次。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（3）监测因子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土壤环境的监测因子分为基本因子和建设项目的特征因子；基本因子为GB36600中规定的基本项目及锌，分别根据调查评价范围内的土地利用类型选取；特征因子为建设项目产生的特有因子。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代表不同土壤类型和用地类型的表层样监测点，监测基本因子和特征因子，其它表层样仅监测特征因子。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1）基本因子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①重金属和无机物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包括：砷、汞、铅、镉、六价铬、铜、镍、锌。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②挥发性有机物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包括：四氯化碳、氯仿、氯甲烷、1,1-二氯乙烷、1,2-二氯乙烷、1,1-二氯乙烯、顺-1,2-二氯乙烯、反-1,2-二氯乙烯、二氯甲烷、1,2-二氯丙烷、1,1,1,2-四氯乙烷、1,1,2,2-四氯乙烯、四氯乙烯、1,1,1-三氯乙烷、1,1,2-三氯乙烷、三氯乙烯、1,2,3-三氯丙烯、氯乙烯、苯、氯苯、1,2-二氯苯、1,4-二氯苯、乙苯、苯乙烯、甲苯、间+对二甲苯、邻二甲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③半挥发性有机物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包括：硝基苯、苯胺、2-氯酚、苯并[a]蒽、苯并[a]芘、苯并[b] 荧蒽、苯并[k]荧蒽、䓛、二苯并[a,h]蒽、茚并[1,2,3-cd]芘、萘。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2）特征因子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本建设项目没有特征因子。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（4）检测分析方法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土壤现状监测样品的采集、保存、分析与质量控制均按HJ/T166、HJ25.1、HJ25.2、GB36600、GB15618等要求进行。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本项目土壤具体检测标准、方法参见表1-6。</w:t>
      </w:r>
    </w:p>
    <w:p>
      <w:pPr>
        <w:keepNext w:val="0"/>
        <w:keepLines w:val="0"/>
        <w:pageBreakBefore w:val="0"/>
        <w:widowControl w:val="0"/>
        <w:kinsoku/>
        <w:wordWrap/>
        <w:overflowPunct/>
        <w:topLinePunct w:val="0"/>
        <w:autoSpaceDE/>
        <w:autoSpaceDN/>
        <w:bidi w:val="0"/>
        <w:adjustRightInd/>
        <w:snapToGrid/>
        <w:spacing w:line="480" w:lineRule="exact"/>
        <w:ind w:firstLine="465"/>
        <w:textAlignment w:val="auto"/>
        <w:rPr>
          <w:rFonts w:hint="default" w:ascii="Times New Roman" w:hAnsi="Times New Roman" w:eastAsia="宋体" w:cs="Times New Roman"/>
          <w:color w:val="auto"/>
          <w:sz w:val="24"/>
          <w:highlight w:val="cyan"/>
        </w:rPr>
        <w:sectPr>
          <w:footerReference r:id="rId16" w:type="default"/>
          <w:pgSz w:w="11907" w:h="16839"/>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表1-6  检测项目标准一览表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978"/>
        <w:gridCol w:w="7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土壤中pH的测定 NY/T 1377-2007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碱消解/火焰原子吸收分光光度法 HJ 687-2014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火焰原子吸收分光光度法 HJ 491-2019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火焰原子吸收分光光度法 HJ 491-2019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石墨炉原子吸收分光光度法HJ 491-2019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石墨炉原子吸收分光光度法GB/T 17141-1997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原子荧光法GB/T 22105.2-2008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原子荧光法GB/T 22105.1-2008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火焰原子吸收分光光度法 HJ 491-2019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间&amp;对-二甲苯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吹扫捕集/气相色谱-质谱法HJ 605-2011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2-氯酚</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78"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7150" w:type="dxa"/>
            <w:noWrap/>
            <w:vAlign w:val="center"/>
          </w:tcPr>
          <w:p>
            <w:pPr>
              <w:widowControl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气相色谱-质谱法 HJ 834-2017</w:t>
            </w:r>
          </w:p>
        </w:tc>
      </w:tr>
    </w:tbl>
    <w:p>
      <w:pPr>
        <w:keepNext w:val="0"/>
        <w:keepLines w:val="0"/>
        <w:pageBreakBefore w:val="0"/>
        <w:widowControl w:val="0"/>
        <w:kinsoku/>
        <w:wordWrap/>
        <w:overflowPunct/>
        <w:topLinePunct w:val="0"/>
        <w:bidi w:val="0"/>
        <w:adjustRightInd/>
        <w:snapToGrid/>
        <w:spacing w:line="480" w:lineRule="exact"/>
        <w:ind w:firstLine="482" w:firstLineChars="200"/>
        <w:jc w:val="left"/>
        <w:textAlignment w:val="auto"/>
        <w:outlineLvl w:val="1"/>
        <w:rPr>
          <w:rFonts w:hint="default" w:ascii="Times New Roman" w:hAnsi="Times New Roman" w:eastAsia="宋体" w:cs="Times New Roman"/>
          <w:b/>
          <w:color w:val="auto"/>
          <w:sz w:val="24"/>
          <w:szCs w:val="24"/>
        </w:rPr>
      </w:pPr>
      <w:bookmarkStart w:id="30" w:name="_Toc4701"/>
      <w:bookmarkStart w:id="31" w:name="_Toc12567"/>
      <w:r>
        <w:rPr>
          <w:rFonts w:hint="default" w:ascii="Times New Roman" w:hAnsi="Times New Roman" w:eastAsia="宋体" w:cs="Times New Roman"/>
          <w:b/>
          <w:color w:val="auto"/>
          <w:sz w:val="24"/>
          <w:szCs w:val="24"/>
        </w:rPr>
        <w:t>1.3.2现状评价</w:t>
      </w:r>
      <w:bookmarkEnd w:id="30"/>
      <w:bookmarkEnd w:id="31"/>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（1）评价标准</w:t>
      </w: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根据调查评价范围内的土地利用类型，建设用地选取《土壤环境质量 建设用地土壤污染风险管控标准（试行）》（GB36600-2018）中第二类用地筛选值进行评价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锌参照《土壤环境质量 农用地土壤污染风险管控标准（试行）》（GB 15618-2018）中土壤污染风险筛选值。评价因子在GB3660等标准中未规定的，可参照行业、地方或国外相关标准进行评价，无可参照标准的只给出现状监测值。</w:t>
      </w: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（2）评价方法</w:t>
      </w: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采用单因子指数</w:t>
      </w:r>
      <w:r>
        <w:rPr>
          <w:rFonts w:hint="default" w:ascii="Times New Roman" w:hAnsi="Times New Roman" w:eastAsia="宋体" w:cs="Times New Roman"/>
          <w:color w:val="auto"/>
          <w:sz w:val="24"/>
          <w:szCs w:val="24"/>
        </w:rPr>
        <w:t>法进行土壤环境质量现状评价：</w:t>
      </w: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679744" behindDoc="1" locked="0" layoutInCell="1" allowOverlap="1">
            <wp:simplePos x="0" y="0"/>
            <wp:positionH relativeFrom="column">
              <wp:posOffset>1285875</wp:posOffset>
            </wp:positionH>
            <wp:positionV relativeFrom="paragraph">
              <wp:posOffset>81915</wp:posOffset>
            </wp:positionV>
            <wp:extent cx="847725" cy="523875"/>
            <wp:effectExtent l="0" t="0" r="9525" b="9525"/>
            <wp:wrapNone/>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59"/>
                    <a:stretch>
                      <a:fillRect/>
                    </a:stretch>
                  </pic:blipFill>
                  <pic:spPr>
                    <a:xfrm>
                      <a:off x="0" y="0"/>
                      <a:ext cx="847725" cy="523875"/>
                    </a:xfrm>
                    <a:prstGeom prst="rect">
                      <a:avLst/>
                    </a:prstGeom>
                    <a:noFill/>
                    <a:ln>
                      <a:noFill/>
                    </a:ln>
                  </pic:spPr>
                </pic:pic>
              </a:graphicData>
            </a:graphic>
          </wp:anchor>
        </w:drawing>
      </w: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QUOTE </w:instrText>
      </w:r>
      <w:r>
        <w:rPr>
          <w:rFonts w:hint="default" w:ascii="Times New Roman" w:hAnsi="Times New Roman" w:eastAsia="宋体" w:cs="Times New Roman"/>
          <w:color w:val="auto"/>
          <w:position w:val="-6"/>
          <w:sz w:val="24"/>
          <w:szCs w:val="24"/>
        </w:rPr>
        <w:pict>
          <v:shape id="_x0000_i1026" o:spt="75" type="#_x0000_t75" style="height:15.75pt;width:9.75pt;" filled="f" o:preferrelative="t" stroked="f" coordsize="21600,21600" equationxml="&lt;">
            <v:path/>
            <v:fill on="f" focussize="0,0"/>
            <v:stroke on="f" joinstyle="miter"/>
            <v:imagedata r:id="rId60" chromakey="#FFFFFF" o:title=""/>
            <o:lock v:ext="edit" aspectratio="t"/>
            <w10:wrap type="none"/>
            <w10:anchorlock/>
          </v:shape>
        </w:pic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--土壤中污染物i的单因子污染指数；</w:t>
      </w:r>
    </w:p>
    <w:p>
      <w:pPr>
        <w:keepNext w:val="0"/>
        <w:keepLines w:val="0"/>
        <w:pageBreakBefore w:val="0"/>
        <w:widowControl w:val="0"/>
        <w:kinsoku/>
        <w:wordWrap/>
        <w:overflowPunct/>
        <w:topLinePunct w:val="0"/>
        <w:bidi w:val="0"/>
        <w:adjustRightInd/>
        <w:snapToGrid/>
        <w:spacing w:line="480" w:lineRule="exact"/>
        <w:ind w:firstLine="1200" w:firstLineChars="5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--监测点位土壤中污染物i的实测浓度；</w:t>
      </w:r>
    </w:p>
    <w:p>
      <w:pPr>
        <w:keepNext w:val="0"/>
        <w:keepLines w:val="0"/>
        <w:pageBreakBefore w:val="0"/>
        <w:widowControl w:val="0"/>
        <w:kinsoku/>
        <w:wordWrap/>
        <w:overflowPunct/>
        <w:topLinePunct w:val="0"/>
        <w:bidi w:val="0"/>
        <w:adjustRightInd/>
        <w:snapToGrid/>
        <w:spacing w:line="480" w:lineRule="exact"/>
        <w:ind w:firstLine="1200" w:firstLineChars="5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--污染物i的评价标准值或参考值。</w:t>
      </w:r>
    </w:p>
    <w:p>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（3）评价结果</w:t>
      </w:r>
    </w:p>
    <w:p>
      <w:pPr>
        <w:keepNext w:val="0"/>
        <w:keepLines w:val="0"/>
        <w:pageBreakBefore w:val="0"/>
        <w:widowControl w:val="0"/>
        <w:kinsoku/>
        <w:wordWrap/>
        <w:overflowPunct/>
        <w:topLinePunct w:val="0"/>
        <w:bidi w:val="0"/>
        <w:adjustRightInd/>
        <w:snapToGrid/>
        <w:spacing w:line="480" w:lineRule="exact"/>
        <w:ind w:firstLine="482" w:firstLineChars="200"/>
        <w:jc w:val="left"/>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略</w:t>
      </w:r>
      <w:r>
        <w:rPr>
          <w:rFonts w:hint="default" w:ascii="Times New Roman" w:hAnsi="Times New Roman" w:eastAsia="宋体" w:cs="Times New Roman"/>
          <w:b/>
          <w:bCs/>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（4）评价结论</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0"/>
        <w:rPr>
          <w:rFonts w:hint="default" w:ascii="Times New Roman" w:hAnsi="Times New Roman" w:eastAsia="宋体" w:cs="Times New Roman"/>
          <w:color w:val="auto"/>
          <w:sz w:val="24"/>
          <w:szCs w:val="24"/>
          <w:u w:color="000000"/>
        </w:rPr>
      </w:pPr>
      <w:r>
        <w:rPr>
          <w:rFonts w:hint="default" w:ascii="Times New Roman" w:hAnsi="Times New Roman" w:eastAsia="宋体" w:cs="Times New Roman"/>
          <w:color w:val="auto"/>
          <w:sz w:val="24"/>
          <w:szCs w:val="24"/>
          <w:u w:color="000000"/>
        </w:rPr>
        <w:t>根据监测结果，</w:t>
      </w:r>
      <w:r>
        <w:rPr>
          <w:rFonts w:hint="default" w:ascii="Times New Roman" w:hAnsi="Times New Roman" w:eastAsia="宋体" w:cs="Times New Roman"/>
          <w:color w:val="auto"/>
          <w:sz w:val="24"/>
          <w:szCs w:val="24"/>
          <w:u w:color="000000"/>
          <w:lang w:eastAsia="zh-CN"/>
        </w:rPr>
        <w:t>站区</w:t>
      </w:r>
      <w:r>
        <w:rPr>
          <w:rFonts w:hint="default" w:ascii="Times New Roman" w:hAnsi="Times New Roman" w:eastAsia="宋体" w:cs="Times New Roman"/>
          <w:color w:val="auto"/>
          <w:sz w:val="24"/>
          <w:szCs w:val="24"/>
          <w:u w:color="000000"/>
        </w:rPr>
        <w:t>内表层样点各项指标均满足建设用地执行《土壤环境质量 建设用地土壤污染风险管控标准》（GB36600-2018）中的风险筛选值，锌满足《土壤环境质量 农用地土壤污染风险管控标准（试行）》（GB 15618-2018）中土壤污染风险筛选值因此，目前评价区内土壤环境良好。</w:t>
      </w:r>
      <w:bookmarkStart w:id="32" w:name="_Toc11245"/>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1.4土壤环境影响预测与评价</w:t>
      </w:r>
      <w:bookmarkEnd w:id="3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本项目污水处理过程中会产生恶臭气体，主要成分为氨气、硫化氢，项目</w:t>
      </w:r>
      <w:r>
        <w:rPr>
          <w:rFonts w:hint="default" w:ascii="Times New Roman" w:hAnsi="Times New Roman" w:eastAsia="宋体" w:cs="Times New Roman"/>
          <w:color w:val="auto"/>
          <w:sz w:val="24"/>
          <w:szCs w:val="24"/>
          <w:lang w:eastAsia="zh-CN"/>
        </w:rPr>
        <w:t>格栅机、压滤机等设于建筑物内，设置排风机换气；各类池体均加盖处理；在综合车间设置管道将</w:t>
      </w:r>
      <w:r>
        <w:rPr>
          <w:rFonts w:hint="default" w:ascii="Times New Roman" w:hAnsi="Times New Roman" w:eastAsia="宋体" w:cs="Times New Roman"/>
          <w:color w:val="auto"/>
          <w:sz w:val="24"/>
          <w:szCs w:val="24"/>
        </w:rPr>
        <w:t>臭气用</w:t>
      </w:r>
      <w:r>
        <w:rPr>
          <w:rFonts w:hint="default" w:ascii="Times New Roman" w:hAnsi="Times New Roman" w:eastAsia="宋体" w:cs="Times New Roman"/>
          <w:color w:val="auto"/>
          <w:sz w:val="24"/>
          <w:szCs w:val="24"/>
          <w:lang w:eastAsia="zh-CN"/>
        </w:rPr>
        <w:t>管道</w:t>
      </w:r>
      <w:r>
        <w:rPr>
          <w:rFonts w:hint="default" w:ascii="Times New Roman" w:hAnsi="Times New Roman" w:eastAsia="宋体" w:cs="Times New Roman"/>
          <w:color w:val="auto"/>
          <w:sz w:val="24"/>
          <w:szCs w:val="24"/>
        </w:rPr>
        <w:t>输送至</w:t>
      </w:r>
      <w:r>
        <w:rPr>
          <w:rFonts w:hint="default" w:ascii="Times New Roman" w:hAnsi="Times New Roman" w:eastAsia="宋体" w:cs="Times New Roman"/>
          <w:color w:val="auto"/>
          <w:sz w:val="24"/>
          <w:szCs w:val="24"/>
          <w:lang w:eastAsia="zh-CN"/>
        </w:rPr>
        <w:t>光氧活性炭一体机</w:t>
      </w:r>
      <w:r>
        <w:rPr>
          <w:rFonts w:hint="default" w:ascii="Times New Roman" w:hAnsi="Times New Roman" w:eastAsia="宋体" w:cs="Times New Roman"/>
          <w:color w:val="auto"/>
          <w:sz w:val="24"/>
          <w:szCs w:val="24"/>
        </w:rPr>
        <w:t>（风机风量</w:t>
      </w:r>
      <w:r>
        <w:rPr>
          <w:rFonts w:hint="default" w:ascii="Times New Roman" w:hAnsi="Times New Roman" w:eastAsia="宋体" w:cs="Times New Roman"/>
          <w:color w:val="auto"/>
          <w:sz w:val="24"/>
          <w:szCs w:val="24"/>
          <w:lang w:val="en-US" w:eastAsia="zh-CN"/>
        </w:rPr>
        <w:t>30000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处理后经</w:t>
      </w:r>
      <w:r>
        <w:rPr>
          <w:rFonts w:hint="default" w:ascii="Times New Roman" w:hAnsi="Times New Roman" w:eastAsia="宋体" w:cs="Times New Roman"/>
          <w:color w:val="auto"/>
          <w:sz w:val="24"/>
          <w:szCs w:val="24"/>
          <w:lang w:val="en-US" w:eastAsia="zh-CN"/>
        </w:rPr>
        <w:t>15m排气筒排放</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经以上措施处理后</w:t>
      </w:r>
      <w:r>
        <w:rPr>
          <w:rFonts w:hint="default" w:ascii="Times New Roman" w:hAnsi="Times New Roman" w:eastAsia="宋体" w:cs="Times New Roman"/>
          <w:color w:val="auto"/>
          <w:sz w:val="24"/>
          <w:szCs w:val="24"/>
        </w:rPr>
        <w:t>大气污染物排放量极少，排放速率较小，对环境空气影响很小，对植物的作用微弱，结合大气环境质量影响预测结果，项目废气对土壤的影响不明显。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根据前面分析可知，本项目运营期无废水排放，为</w:t>
      </w:r>
      <w:r>
        <w:rPr>
          <w:rFonts w:hint="default" w:ascii="Times New Roman" w:hAnsi="Times New Roman" w:eastAsia="宋体" w:cs="Times New Roman"/>
          <w:color w:val="auto"/>
          <w:sz w:val="24"/>
          <w:szCs w:val="24"/>
          <w:lang w:eastAsia="zh-CN"/>
        </w:rPr>
        <w:t>避免</w:t>
      </w:r>
      <w:r>
        <w:rPr>
          <w:rFonts w:hint="default" w:ascii="Times New Roman" w:hAnsi="Times New Roman" w:eastAsia="宋体" w:cs="Times New Roman"/>
          <w:color w:val="auto"/>
          <w:sz w:val="24"/>
          <w:szCs w:val="24"/>
        </w:rPr>
        <w:t>事故废水下渗造成土壤的污染，项目格栅池、调节池以及各污水处理站的污水管线基础等在采取防渗措施的前提，基本消除了对土壤污染的可能性，本项目运营期严格落实环评提出的防渗措施后，对土壤影响不明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因此，本项目生产运营期采取的土壤防治措施可行，建设单位在采取定期加固防渗措施后，占地范围内潜在污染源污染形式对土壤影响是可接受的。</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0"/>
        <w:rPr>
          <w:rFonts w:hint="default" w:ascii="Times New Roman" w:hAnsi="Times New Roman" w:eastAsia="宋体" w:cs="Times New Roman"/>
          <w:b/>
          <w:color w:val="auto"/>
          <w:sz w:val="24"/>
          <w:szCs w:val="24"/>
        </w:rPr>
      </w:pPr>
      <w:bookmarkStart w:id="33" w:name="_Toc7129"/>
      <w:r>
        <w:rPr>
          <w:rFonts w:hint="default" w:ascii="Times New Roman" w:hAnsi="Times New Roman" w:eastAsia="宋体" w:cs="Times New Roman"/>
          <w:b/>
          <w:color w:val="auto"/>
          <w:sz w:val="24"/>
          <w:szCs w:val="24"/>
        </w:rPr>
        <w:t>1.5土壤环境保护措施与对策</w:t>
      </w:r>
      <w:bookmarkEnd w:id="3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（1）土壤环境保护对象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土壤环境保护对象主要为占地范围内的污水池区、生产装置区及周边农用地。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（2）土壤环境保护措施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中华人民共和国水污染防治法》和《中华人民共和国环境影响评价法》的相关规定，土壤污染防治应当坚持预防为主、保护优先、分类管理、风险管控、污染担责、公众参与的原则。本项目从污染物的产生、入渗、扩散、应急响应进行控制，采取的土壤环境保护措施主要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①源头控制措施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先进工艺、管道、设备、污水储存，尽可能从源头上减少可能污染物产生；要求严格按照国家相关规范，对管道、设备及相关构筑物采取相应的措施，以防止和降低污水的跑、冒、滴、漏，将污水泄漏的环境风险事故降低到最低程度；管线敷设尽量采用“可视化”原则，做到污染物“早发现、早处理”。切实贯彻执行“预防为主、防治结合”的方针，严禁渗坑渗井排放，所有场地全部硬化和密封，严禁下渗污染。通过规划布局调整结构来控制污染，对控制新污染源的产生有重要的作用。进行质量体系认证，实现“质量、安全、环境”三位一体的全面质量管理目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②过程阻断措施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严密监控污染源污染状况，设置必要的检修时间及检修周期，在一个检修周期内，对可能有污染物跑冒滴漏等产生的地区进行必要的检修工作，及时发现污染物渗漏等事件，采取补救措施。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③分区防控措施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本项目占地范围内及</w:t>
      </w:r>
      <w:r>
        <w:rPr>
          <w:rFonts w:hint="default" w:ascii="Times New Roman" w:hAnsi="Times New Roman" w:eastAsia="宋体" w:cs="Times New Roman"/>
          <w:color w:val="auto"/>
          <w:sz w:val="24"/>
          <w:szCs w:val="24"/>
          <w:lang w:eastAsia="zh-CN"/>
        </w:rPr>
        <w:t>站</w:t>
      </w:r>
      <w:r>
        <w:rPr>
          <w:rFonts w:hint="default" w:ascii="Times New Roman" w:hAnsi="Times New Roman" w:eastAsia="宋体" w:cs="Times New Roman"/>
          <w:color w:val="auto"/>
          <w:sz w:val="24"/>
          <w:szCs w:val="24"/>
        </w:rPr>
        <w:t>区外加强绿化工作，加大绿化系数，以种植具有较强吸附能力的植物为主，减轻污染。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本项目根据各生产功能单元可能泄漏至地面区域的污染物性质和生产单元的构筑方式，划分为重点防渗区和简单防渗区。</w:t>
      </w:r>
      <w:r>
        <w:rPr>
          <w:rFonts w:hint="default" w:ascii="Times New Roman" w:hAnsi="Times New Roman" w:eastAsia="宋体" w:cs="Times New Roman"/>
          <w:color w:val="auto"/>
          <w:sz w:val="24"/>
          <w:szCs w:val="24"/>
          <w:lang w:eastAsia="ja-JP"/>
        </w:rPr>
        <w:t>根据</w:t>
      </w:r>
      <w:r>
        <w:rPr>
          <w:rFonts w:hint="default" w:ascii="Times New Roman" w:hAnsi="Times New Roman" w:eastAsia="宋体" w:cs="Times New Roman"/>
          <w:color w:val="auto"/>
          <w:sz w:val="24"/>
          <w:szCs w:val="24"/>
        </w:rPr>
        <w:t>《石油化工工程防渗技术规范》（GBT 50934-2013），结合项目实际情况，场地污染防治分区及防渗措施要求见表1-10。</w:t>
      </w: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表1-10  本项目各区域防渗具体要求</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4"/>
        <w:gridCol w:w="2813"/>
        <w:gridCol w:w="51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防渗区域</w:t>
            </w:r>
          </w:p>
        </w:tc>
        <w:tc>
          <w:tcPr>
            <w:tcW w:w="2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防渗结构</w:t>
            </w:r>
          </w:p>
        </w:tc>
        <w:tc>
          <w:tcPr>
            <w:tcW w:w="5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2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各类池体</w:t>
            </w:r>
            <w:r>
              <w:rPr>
                <w:rFonts w:hint="default" w:ascii="Times New Roman" w:hAnsi="Times New Roman" w:eastAsia="宋体" w:cs="Times New Roman"/>
                <w:color w:val="auto"/>
                <w:sz w:val="21"/>
                <w:szCs w:val="21"/>
                <w:lang w:eastAsia="zh-CN"/>
              </w:rPr>
              <w:t>、压滤间及</w:t>
            </w:r>
            <w:r>
              <w:rPr>
                <w:rFonts w:hint="default" w:ascii="Times New Roman" w:hAnsi="Times New Roman" w:eastAsia="宋体" w:cs="Times New Roman"/>
                <w:color w:val="auto"/>
                <w:sz w:val="21"/>
                <w:szCs w:val="21"/>
              </w:rPr>
              <w:t>污水输送管道等</w:t>
            </w:r>
          </w:p>
        </w:tc>
        <w:tc>
          <w:tcPr>
            <w:tcW w:w="5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rPr>
              <w:t>重点防渗区防渗层的防渗性能应等效黏土防渗层Mb≥6.0m，K&lt;10-7cm/s的防渗性能，采用土工膜（三布两膜）进行防渗，土工膜上浇筑500mm厚C25砼。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2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综合车间及、办公室及</w:t>
            </w:r>
            <w:r>
              <w:rPr>
                <w:rFonts w:hint="default" w:ascii="Times New Roman" w:hAnsi="Times New Roman" w:eastAsia="宋体" w:cs="Times New Roman"/>
                <w:color w:val="auto"/>
                <w:sz w:val="21"/>
                <w:szCs w:val="21"/>
              </w:rPr>
              <w:t>污水处理站内道路等</w:t>
            </w:r>
          </w:p>
        </w:tc>
        <w:tc>
          <w:tcPr>
            <w:tcW w:w="51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综合车间箱体采用钢板制作，</w:t>
            </w:r>
            <w:r>
              <w:rPr>
                <w:rFonts w:hint="default" w:ascii="Times New Roman" w:hAnsi="Times New Roman" w:eastAsia="宋体" w:cs="Times New Roman"/>
                <w:color w:val="auto"/>
                <w:sz w:val="21"/>
                <w:szCs w:val="21"/>
              </w:rPr>
              <w:t>地面硬化，水泥抗渗标号不低于P1级。</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④应急响应措施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设立土壤监测小组，负责对土壤环境监测和管理，或者委托专业的机构完成。建立有关规章制度和岗位责任制。制定风险预警方案，设立应急设施减少环境污染影响。</w:t>
      </w:r>
    </w:p>
    <w:p>
      <w:pPr>
        <w:keepNext w:val="0"/>
        <w:keepLines w:val="0"/>
        <w:pageBreakBefore w:val="0"/>
        <w:widowControl w:val="0"/>
        <w:kinsoku/>
        <w:wordWrap/>
        <w:overflowPunct/>
        <w:topLinePunct w:val="0"/>
        <w:autoSpaceDE/>
        <w:autoSpaceDN/>
        <w:bidi w:val="0"/>
        <w:adjustRightInd/>
        <w:snapToGrid/>
        <w:spacing w:line="480" w:lineRule="exact"/>
        <w:jc w:val="left"/>
        <w:outlineLvl w:val="0"/>
        <w:rPr>
          <w:rFonts w:hint="default" w:ascii="Times New Roman" w:hAnsi="Times New Roman" w:eastAsia="宋体" w:cs="Times New Roman"/>
          <w:b/>
          <w:color w:val="auto"/>
          <w:sz w:val="24"/>
          <w:szCs w:val="24"/>
        </w:rPr>
      </w:pPr>
      <w:bookmarkStart w:id="34" w:name="_Toc23021"/>
      <w:r>
        <w:rPr>
          <w:rFonts w:hint="default" w:ascii="Times New Roman" w:hAnsi="Times New Roman" w:eastAsia="宋体" w:cs="Times New Roman"/>
          <w:b/>
          <w:color w:val="auto"/>
          <w:sz w:val="24"/>
          <w:szCs w:val="24"/>
        </w:rPr>
        <w:t>1.6土壤环境跟踪监测</w:t>
      </w:r>
      <w:bookmarkEnd w:id="3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Style w:val="386"/>
          <w:rFonts w:hint="default" w:ascii="Times New Roman" w:hAnsi="Times New Roman" w:eastAsia="宋体" w:cs="Times New Roman"/>
          <w:bCs/>
          <w:color w:val="auto"/>
          <w:sz w:val="24"/>
          <w:szCs w:val="24"/>
        </w:rPr>
      </w:pPr>
      <w:r>
        <w:rPr>
          <w:rStyle w:val="386"/>
          <w:rFonts w:hint="default" w:ascii="Times New Roman" w:hAnsi="Times New Roman" w:eastAsia="宋体" w:cs="Times New Roman"/>
          <w:bCs/>
          <w:color w:val="auto"/>
          <w:sz w:val="24"/>
          <w:szCs w:val="24"/>
        </w:rPr>
        <w:t>根据土壤导则，评价等级为三级的建设项目必要时可开展跟踪监测。本项目</w:t>
      </w:r>
      <w:r>
        <w:rPr>
          <w:rFonts w:hint="default" w:ascii="Times New Roman" w:hAnsi="Times New Roman" w:eastAsia="宋体" w:cs="Times New Roman"/>
          <w:color w:val="auto"/>
          <w:sz w:val="24"/>
          <w:szCs w:val="24"/>
          <w:lang w:eastAsia="zh-CN"/>
        </w:rPr>
        <w:t>站</w:t>
      </w:r>
      <w:r>
        <w:rPr>
          <w:rFonts w:hint="default" w:ascii="Times New Roman" w:hAnsi="Times New Roman" w:eastAsia="宋体" w:cs="Times New Roman"/>
          <w:color w:val="auto"/>
          <w:sz w:val="24"/>
          <w:szCs w:val="24"/>
        </w:rPr>
        <w:t>区</w:t>
      </w:r>
      <w:r>
        <w:rPr>
          <w:rStyle w:val="386"/>
          <w:rFonts w:hint="default" w:ascii="Times New Roman" w:hAnsi="Times New Roman" w:eastAsia="宋体" w:cs="Times New Roman"/>
          <w:bCs/>
          <w:color w:val="auto"/>
          <w:sz w:val="24"/>
          <w:szCs w:val="24"/>
        </w:rPr>
        <w:t>采取硬化措施后，不会对周围土壤造成较大影响，因此，本项目可不开展跟踪监测。</w:t>
      </w:r>
    </w:p>
    <w:p>
      <w:pPr>
        <w:keepNext w:val="0"/>
        <w:keepLines w:val="0"/>
        <w:pageBreakBefore w:val="0"/>
        <w:widowControl w:val="0"/>
        <w:kinsoku/>
        <w:wordWrap/>
        <w:overflowPunct/>
        <w:topLinePunct w:val="0"/>
        <w:autoSpaceDE/>
        <w:autoSpaceDN/>
        <w:bidi w:val="0"/>
        <w:adjustRightInd/>
        <w:snapToGrid/>
        <w:spacing w:line="480" w:lineRule="exact"/>
        <w:jc w:val="left"/>
        <w:outlineLvl w:val="0"/>
        <w:rPr>
          <w:rFonts w:hint="default" w:ascii="Times New Roman" w:hAnsi="Times New Roman" w:eastAsia="宋体" w:cs="Times New Roman"/>
          <w:b/>
          <w:color w:val="auto"/>
          <w:sz w:val="24"/>
          <w:szCs w:val="24"/>
        </w:rPr>
      </w:pPr>
      <w:bookmarkStart w:id="35" w:name="_Toc27416"/>
      <w:r>
        <w:rPr>
          <w:rFonts w:hint="default" w:ascii="Times New Roman" w:hAnsi="Times New Roman" w:eastAsia="宋体" w:cs="Times New Roman"/>
          <w:b/>
          <w:color w:val="auto"/>
          <w:sz w:val="24"/>
          <w:szCs w:val="24"/>
        </w:rPr>
        <w:t>1.7结论</w:t>
      </w:r>
      <w:bookmarkEnd w:id="3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占地范围及评价范围内各监测点位的各监测项目的监测值均低于相应标准的风险筛选值，对人体健康的风险可忽略。本项目评价范围内土壤环境质量现状良好。针对可能造成的土壤污染，本项目从源头控制与过程控制采取相应防治措施，建设单位在采取定期加固防渗措施后，占地范围内潜在污染源污染形式对土壤影响是可接受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综上，从土壤环境影响角度分析，在采取了严格的土壤环境保护措施后，本项目建设具有可行性。</w:t>
      </w: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before="79" w:beforeLines="25" w:afterLines="25" w:line="240" w:lineRule="auto"/>
        <w:jc w:val="center"/>
        <w:textAlignment w:val="baseline"/>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表1-11  土壤环境影响评价自查表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0"/>
        <w:gridCol w:w="1761"/>
        <w:gridCol w:w="1116"/>
        <w:gridCol w:w="1022"/>
        <w:gridCol w:w="1432"/>
        <w:gridCol w:w="1231"/>
        <w:gridCol w:w="253"/>
        <w:gridCol w:w="1023"/>
        <w:gridCol w:w="1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01"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工作内容</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完成情况</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影响识别</w:t>
            </w: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影响类型</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污染影响型☑；生态影响型□；两种兼有□</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建设用地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；农用地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；未利用地□</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占地规模</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（3333）hm</w:t>
            </w:r>
            <w:r>
              <w:rPr>
                <w:rFonts w:hint="default" w:ascii="Times New Roman" w:hAnsi="Times New Roman" w:eastAsia="宋体" w:cs="Times New Roman"/>
                <w:color w:val="auto"/>
                <w:sz w:val="21"/>
                <w:szCs w:val="21"/>
                <w:vertAlign w:val="superscript"/>
              </w:rPr>
              <w:t>2</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敏感目标信息</w:t>
            </w:r>
          </w:p>
        </w:tc>
        <w:tc>
          <w:tcPr>
            <w:tcW w:w="6077" w:type="dxa"/>
            <w:gridSpan w:val="6"/>
            <w:tcBorders>
              <w:tl2br w:val="nil"/>
              <w:tr2bl w:val="nil"/>
            </w:tcBorders>
            <w:vAlign w:val="center"/>
          </w:tcPr>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95"/>
              <w:gridCol w:w="872"/>
              <w:gridCol w:w="1567"/>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8" w:hRule="atLeast"/>
                <w:jc w:val="center"/>
              </w:trPr>
              <w:tc>
                <w:tcPr>
                  <w:tcW w:w="127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耕地</w:t>
                  </w:r>
                </w:p>
              </w:tc>
              <w:tc>
                <w:tcPr>
                  <w:tcW w:w="7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133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紧邻</w:t>
                  </w:r>
                </w:p>
              </w:tc>
              <w:tc>
                <w:tcPr>
                  <w:tcW w:w="163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8" w:hRule="atLeast"/>
                <w:jc w:val="center"/>
              </w:trPr>
              <w:tc>
                <w:tcPr>
                  <w:tcW w:w="127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耕地</w:t>
                  </w:r>
                </w:p>
              </w:tc>
              <w:tc>
                <w:tcPr>
                  <w:tcW w:w="7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133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紧邻</w:t>
                  </w:r>
                </w:p>
              </w:tc>
              <w:tc>
                <w:tcPr>
                  <w:tcW w:w="163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8" w:hRule="atLeast"/>
                <w:jc w:val="center"/>
              </w:trPr>
              <w:tc>
                <w:tcPr>
                  <w:tcW w:w="127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耕地</w:t>
                  </w:r>
                </w:p>
              </w:tc>
              <w:tc>
                <w:tcPr>
                  <w:tcW w:w="7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133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紧邻</w:t>
                  </w:r>
                </w:p>
              </w:tc>
              <w:tc>
                <w:tcPr>
                  <w:tcW w:w="163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27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耕地</w:t>
                  </w:r>
                </w:p>
              </w:tc>
              <w:tc>
                <w:tcPr>
                  <w:tcW w:w="745"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1339"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紧邻</w:t>
                  </w:r>
                </w:p>
              </w:tc>
              <w:tc>
                <w:tcPr>
                  <w:tcW w:w="1638" w:type="pct"/>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农作物</w:t>
                  </w:r>
                </w:p>
              </w:tc>
            </w:tr>
          </w:tbl>
          <w:p>
            <w:pPr>
              <w:spacing w:line="240" w:lineRule="auto"/>
              <w:jc w:val="center"/>
              <w:rPr>
                <w:rFonts w:hint="default" w:ascii="Times New Roman" w:hAnsi="Times New Roman" w:eastAsia="宋体" w:cs="Times New Roman"/>
                <w:color w:val="auto"/>
                <w:sz w:val="21"/>
                <w:szCs w:val="21"/>
              </w:rPr>
            </w:pP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影响途径</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大气沉降□；地面漫流□；垂直入渗√；地下水位□；其他（）</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全部污染物</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SS、CODcr、BOD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特征因子</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所属土壤环境影响评价项目类别</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I类□；II类□；III类√；IV类□</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敏感√；较敏感□；不敏感□</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01"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一级□；二级□；三级√</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现状调查内容</w:t>
            </w: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资料收集</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；c）□；d）□</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理化特性</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w:t>
            </w:r>
          </w:p>
        </w:tc>
        <w:tc>
          <w:tcPr>
            <w:tcW w:w="1009" w:type="dxa"/>
            <w:tcBorders>
              <w:tl2br w:val="nil"/>
              <w:tr2bl w:val="nil"/>
            </w:tcBorders>
            <w:vAlign w:val="center"/>
          </w:tcPr>
          <w:p>
            <w:pPr>
              <w:pStyle w:val="363"/>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同附录C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现状监测点位</w:t>
            </w:r>
          </w:p>
        </w:tc>
        <w:tc>
          <w:tcPr>
            <w:tcW w:w="2138"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w:t>
            </w:r>
          </w:p>
        </w:tc>
        <w:tc>
          <w:tcPr>
            <w:tcW w:w="1484"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占地范围外</w:t>
            </w:r>
          </w:p>
        </w:tc>
        <w:tc>
          <w:tcPr>
            <w:tcW w:w="102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深度</w:t>
            </w:r>
          </w:p>
        </w:tc>
        <w:tc>
          <w:tcPr>
            <w:tcW w:w="1009" w:type="dxa"/>
            <w:vMerge w:val="restart"/>
            <w:tcBorders>
              <w:tl2br w:val="nil"/>
              <w:tr2bl w:val="nil"/>
            </w:tcBorders>
            <w:vAlign w:val="center"/>
          </w:tcPr>
          <w:p>
            <w:pPr>
              <w:pStyle w:val="363"/>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点位布置图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138"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表层样点数</w:t>
            </w:r>
          </w:p>
        </w:tc>
        <w:tc>
          <w:tcPr>
            <w:tcW w:w="143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84"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02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0-0.2m</w:t>
            </w:r>
          </w:p>
        </w:tc>
        <w:tc>
          <w:tcPr>
            <w:tcW w:w="100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现状监测因子</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《土壤环境质量 建设用地土壤污染风险管控标准（试行）》（GB/36600-2018）标准中基本项目</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同监测因子</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GB15618√；GB36600√；表D.1□；表D.2□；其他（）</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现状评价结论</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本项目占地范围及评价范围内各监测点位的各监测项目的监测值均低于相应标准的风险筛选值，对人体健康的风险可忽略。本项目评价范围内土壤环境质量现状良好。</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影响预测</w:t>
            </w: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预测方法</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附录E□；附录F□；其他（）</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预测分析内容</w:t>
            </w:r>
          </w:p>
        </w:tc>
        <w:tc>
          <w:tcPr>
            <w:tcW w:w="6077" w:type="dxa"/>
            <w:gridSpan w:val="6"/>
            <w:tcBorders>
              <w:tl2br w:val="nil"/>
              <w:tr2bl w:val="nil"/>
            </w:tcBorders>
            <w:vAlign w:val="center"/>
          </w:tcPr>
          <w:p>
            <w:pPr>
              <w:tabs>
                <w:tab w:val="left" w:pos="1639"/>
              </w:tabs>
              <w:spacing w:line="240" w:lineRule="auto"/>
              <w:jc w:val="center"/>
              <w:rPr>
                <w:rFonts w:hint="default" w:ascii="Times New Roman" w:hAnsi="Times New Roman" w:eastAsia="宋体" w:cs="Times New Roman"/>
                <w:color w:val="auto"/>
                <w:sz w:val="21"/>
                <w:szCs w:val="21"/>
                <w:lang w:bidi="en-US"/>
              </w:rPr>
            </w:pPr>
            <w:r>
              <w:rPr>
                <w:rFonts w:hint="default" w:ascii="Times New Roman" w:hAnsi="Times New Roman" w:eastAsia="宋体" w:cs="Times New Roman"/>
                <w:color w:val="auto"/>
                <w:sz w:val="21"/>
                <w:szCs w:val="21"/>
                <w:lang w:bidi="en-US"/>
              </w:rPr>
              <w:t>影响范围（）</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影响程度（）</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预测结论</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达标结论：a）☑；b）□；c）□</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不达标结论：a）□；b）□</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防治措施</w:t>
            </w: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防控措施</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土壤环境质量现状保障√；源头控制√；过程防控√；其他（）</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跟踪监测</w:t>
            </w:r>
          </w:p>
        </w:tc>
        <w:tc>
          <w:tcPr>
            <w:tcW w:w="111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监测点数</w:t>
            </w:r>
          </w:p>
        </w:tc>
        <w:tc>
          <w:tcPr>
            <w:tcW w:w="3685"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1276"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363"/>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85"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76" w:type="dxa"/>
            <w:gridSpan w:val="2"/>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必要时</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可开展</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363"/>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85"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76" w:type="dxa"/>
            <w:gridSpan w:val="2"/>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0"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信息公开指标</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01"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6077"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占地范围及评价范围内各监测点位的各监测项目的监测值均低于相应标准的风险筛选值，对人体健康的风险可忽略。本项目评价范围内土壤环境质量现状良好。针对可能造成的土壤污染，本项目从源头控制与过程控制采取相应防治措施，建设单位在采取定期加固防渗措施后，占地范围内潜在污染源污染形式对土壤影响是可接受的。</w:t>
            </w:r>
          </w:p>
        </w:tc>
        <w:tc>
          <w:tcPr>
            <w:tcW w:w="1009"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87" w:type="dxa"/>
            <w:gridSpan w:val="9"/>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注1：“□”为勾选项，可√；“（）”为内容填写项；“备注”为其他补充内容。</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注2：需要分别开展土壤环境影响评级工作的，分别填写自查表。</w:t>
            </w:r>
          </w:p>
        </w:tc>
      </w:tr>
    </w:tbl>
    <w:p>
      <w:pPr>
        <w:widowControl w:val="0"/>
        <w:autoSpaceDE w:val="0"/>
        <w:autoSpaceDN w:val="0"/>
        <w:snapToGrid/>
        <w:spacing w:line="360" w:lineRule="auto"/>
        <w:ind w:firstLine="480" w:firstLineChars="200"/>
        <w:rPr>
          <w:rFonts w:hint="default" w:ascii="Times New Roman" w:hAnsi="Times New Roman" w:eastAsia="宋体" w:cs="Times New Roman"/>
          <w:bCs/>
          <w:color w:val="auto"/>
          <w:kern w:val="2"/>
          <w:sz w:val="24"/>
          <w:szCs w:val="24"/>
        </w:rPr>
        <w:sectPr>
          <w:footerReference r:id="rId17" w:type="default"/>
          <w:pgSz w:w="11906" w:h="16838"/>
          <w:pgMar w:top="1418" w:right="1417" w:bottom="1417" w:left="141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480" w:lineRule="exact"/>
        <w:jc w:val="center"/>
        <w:textAlignment w:val="auto"/>
        <w:rPr>
          <w:rFonts w:hint="default" w:ascii="Times New Roman" w:hAnsi="Times New Roman" w:eastAsia="宋体" w:cs="Times New Roman"/>
          <w:color w:val="auto"/>
          <w:sz w:val="32"/>
          <w:szCs w:val="32"/>
        </w:rPr>
      </w:pPr>
      <w:bookmarkStart w:id="36" w:name="_Toc13970"/>
      <w:bookmarkStart w:id="37" w:name="_Toc16685812"/>
      <w:bookmarkStart w:id="38" w:name="_Toc454466598"/>
      <w:bookmarkStart w:id="39" w:name="_Toc170756725"/>
      <w:bookmarkStart w:id="40" w:name="_Toc169144660"/>
      <w:r>
        <w:rPr>
          <w:rFonts w:hint="default" w:ascii="Times New Roman" w:hAnsi="Times New Roman" w:eastAsia="宋体" w:cs="Times New Roman"/>
          <w:color w:val="auto"/>
          <w:sz w:val="32"/>
          <w:szCs w:val="32"/>
        </w:rPr>
        <w:t>第二章 环境风险评价</w:t>
      </w:r>
      <w:bookmarkEnd w:id="36"/>
    </w:p>
    <w:p>
      <w:pPr>
        <w:pStyle w:val="5"/>
        <w:pageBreakBefore w:val="0"/>
        <w:widowControl w:val="0"/>
        <w:kinsoku/>
        <w:wordWrap/>
        <w:overflowPunct/>
        <w:topLinePunct w:val="0"/>
        <w:autoSpaceDE/>
        <w:autoSpaceDN/>
        <w:bidi w:val="0"/>
        <w:adjustRightInd/>
        <w:snapToGrid/>
        <w:spacing w:before="0" w:after="0" w:line="480" w:lineRule="exact"/>
        <w:jc w:val="left"/>
        <w:textAlignment w:val="auto"/>
        <w:rPr>
          <w:rFonts w:hint="default" w:ascii="Times New Roman" w:hAnsi="Times New Roman" w:eastAsia="宋体" w:cs="Times New Roman"/>
          <w:color w:val="auto"/>
          <w:kern w:val="44"/>
          <w:sz w:val="24"/>
          <w:szCs w:val="24"/>
        </w:rPr>
      </w:pPr>
      <w:bookmarkStart w:id="41" w:name="_Toc29599"/>
      <w:r>
        <w:rPr>
          <w:rFonts w:hint="default" w:ascii="Times New Roman" w:hAnsi="Times New Roman" w:eastAsia="宋体" w:cs="Times New Roman"/>
          <w:color w:val="auto"/>
          <w:kern w:val="44"/>
          <w:sz w:val="24"/>
          <w:szCs w:val="24"/>
        </w:rPr>
        <w:t>2.1 概述</w:t>
      </w:r>
      <w:bookmarkEnd w:id="41"/>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44"/>
          <w:sz w:val="24"/>
          <w:szCs w:val="24"/>
        </w:rPr>
      </w:pPr>
      <w:r>
        <w:rPr>
          <w:rFonts w:hint="default" w:ascii="Times New Roman" w:hAnsi="Times New Roman" w:eastAsia="宋体" w:cs="Times New Roman"/>
          <w:color w:val="auto"/>
          <w:kern w:val="44"/>
          <w:sz w:val="24"/>
          <w:szCs w:val="24"/>
        </w:rPr>
        <w:t>环境风险评价的目的是分析和预测建设项目存在的潜在危险、有害因素，项目建设和运营期间可能发生的突发性事件或事故（一般不包括人为破坏和自然灾害），引起有毒有害或易燃易爆等物质的泄漏，所造成的人身安全和环境影响损害程度，并提出合理可行的防范、应急及减缓措施，以使建设项目的事故率、损失和环境影响达到可接受水平。为此，根据《建设项目环境风险评价技术导则》（HJ/T169-2018）的要求，对本项目在运行过程中可能产生的环境风险进行分析评价，并提出针对性的防范措施或者应急预案。</w:t>
      </w:r>
      <w:bookmarkEnd w:id="37"/>
    </w:p>
    <w:bookmarkEnd w:id="38"/>
    <w:bookmarkEnd w:id="39"/>
    <w:bookmarkEnd w:id="40"/>
    <w:p>
      <w:pPr>
        <w:pStyle w:val="5"/>
        <w:pageBreakBefore w:val="0"/>
        <w:widowControl w:val="0"/>
        <w:kinsoku/>
        <w:wordWrap/>
        <w:overflowPunct/>
        <w:topLinePunct w:val="0"/>
        <w:autoSpaceDE/>
        <w:autoSpaceDN/>
        <w:bidi w:val="0"/>
        <w:adjustRightInd/>
        <w:snapToGrid/>
        <w:spacing w:before="0" w:after="0" w:line="480" w:lineRule="exact"/>
        <w:jc w:val="left"/>
        <w:textAlignment w:val="auto"/>
        <w:rPr>
          <w:rFonts w:hint="default" w:ascii="Times New Roman" w:hAnsi="Times New Roman" w:eastAsia="宋体" w:cs="Times New Roman"/>
          <w:color w:val="auto"/>
          <w:kern w:val="44"/>
          <w:sz w:val="24"/>
          <w:szCs w:val="24"/>
        </w:rPr>
      </w:pPr>
      <w:bookmarkStart w:id="42" w:name="_Toc17211555"/>
      <w:bookmarkStart w:id="43" w:name="_Toc18615"/>
      <w:r>
        <w:rPr>
          <w:rFonts w:hint="default" w:ascii="Times New Roman" w:hAnsi="Times New Roman" w:eastAsia="宋体" w:cs="Times New Roman"/>
          <w:color w:val="auto"/>
          <w:kern w:val="44"/>
          <w:sz w:val="24"/>
          <w:szCs w:val="24"/>
        </w:rPr>
        <w:t>2.2</w:t>
      </w:r>
      <w:bookmarkEnd w:id="42"/>
      <w:r>
        <w:rPr>
          <w:rFonts w:hint="default" w:ascii="Times New Roman" w:hAnsi="Times New Roman" w:eastAsia="宋体" w:cs="Times New Roman"/>
          <w:color w:val="auto"/>
          <w:sz w:val="24"/>
          <w:szCs w:val="24"/>
        </w:rPr>
        <w:t>环境风险等级</w:t>
      </w:r>
      <w:bookmarkEnd w:id="43"/>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根据《建设项目环境风险评价技术导则》（HJ169-2018）中规定，环境风险评价工作等级划分原则见表2-1。</w:t>
      </w:r>
    </w:p>
    <w:p>
      <w:pPr>
        <w:keepNext w:val="0"/>
        <w:keepLines w:val="0"/>
        <w:pageBreakBefore w:val="0"/>
        <w:widowControl w:val="0"/>
        <w:kinsoku/>
        <w:wordWrap/>
        <w:overflowPunct/>
        <w:topLinePunct w:val="0"/>
        <w:autoSpaceDE/>
        <w:autoSpaceDN/>
        <w:bidi w:val="0"/>
        <w:adjustRightInd/>
        <w:snapToGrid/>
        <w:spacing w:before="79" w:beforeLines="25" w:after="79" w:afterLines="25"/>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表2-1  环境风险评价工作级别判定表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803"/>
        <w:gridCol w:w="2063"/>
        <w:gridCol w:w="2320"/>
        <w:gridCol w:w="1549"/>
        <w:gridCol w:w="1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71"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环境风险潜势</w:t>
            </w:r>
          </w:p>
        </w:tc>
        <w:tc>
          <w:tcPr>
            <w:tcW w:w="1111"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r>
              <w:rPr>
                <w:rFonts w:hint="default" w:ascii="Times New Roman" w:hAnsi="Times New Roman" w:eastAsia="宋体" w:cs="Times New Roman"/>
                <w:color w:val="auto"/>
                <w:sz w:val="21"/>
                <w:szCs w:val="21"/>
                <w:shd w:val="clear" w:color="auto" w:fill="FFFFFF"/>
              </w:rPr>
              <w:t>Ⅳ</w:t>
            </w:r>
            <w:r>
              <w:rPr>
                <w:rFonts w:hint="default" w:ascii="Times New Roman" w:hAnsi="Times New Roman" w:eastAsia="宋体" w:cs="Times New Roman"/>
                <w:color w:val="auto"/>
                <w:sz w:val="21"/>
                <w:szCs w:val="21"/>
                <w:shd w:val="clear" w:color="auto" w:fill="FFFFFF"/>
                <w:vertAlign w:val="superscript"/>
              </w:rPr>
              <w:t>+</w:t>
            </w:r>
          </w:p>
        </w:tc>
        <w:tc>
          <w:tcPr>
            <w:tcW w:w="1249"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834"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834"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71"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1111"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249"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834"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834" w:type="pct"/>
            <w:tcBorders>
              <w:tl2br w:val="nil"/>
              <w:tr2bl w:val="nil"/>
            </w:tcBorders>
            <w:vAlign w:val="center"/>
          </w:tcPr>
          <w:p>
            <w:pPr>
              <w:spacing w:line="240" w:lineRule="auto"/>
              <w:jc w:val="center"/>
              <w:textAlignment w:val="baseline"/>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 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本项目环境风险潜势判断：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本项目涉及的环境风险物质为</w:t>
      </w:r>
      <w:r>
        <w:rPr>
          <w:rFonts w:hint="default" w:ascii="Times New Roman" w:hAnsi="Times New Roman" w:eastAsia="宋体" w:cs="Times New Roman"/>
          <w:bCs/>
          <w:color w:val="auto"/>
          <w:sz w:val="24"/>
          <w:lang w:eastAsia="zh-CN"/>
        </w:rPr>
        <w:t>消毒使用的液态</w:t>
      </w:r>
      <w:r>
        <w:rPr>
          <w:rFonts w:hint="default" w:ascii="Times New Roman" w:hAnsi="Times New Roman" w:eastAsia="宋体" w:cs="Times New Roman"/>
          <w:bCs/>
          <w:color w:val="auto"/>
          <w:sz w:val="24"/>
        </w:rPr>
        <w:t>次氯酸钠，项目</w:t>
      </w:r>
      <w:r>
        <w:rPr>
          <w:rFonts w:hint="default" w:ascii="Times New Roman" w:hAnsi="Times New Roman" w:eastAsia="宋体" w:cs="Times New Roman"/>
          <w:bCs/>
          <w:color w:val="auto"/>
          <w:sz w:val="24"/>
          <w:lang w:eastAsia="zh-CN"/>
        </w:rPr>
        <w:t>站区</w:t>
      </w:r>
      <w:r>
        <w:rPr>
          <w:rFonts w:hint="default" w:ascii="Times New Roman" w:hAnsi="Times New Roman" w:eastAsia="宋体" w:cs="Times New Roman"/>
          <w:bCs/>
          <w:color w:val="auto"/>
          <w:sz w:val="24"/>
        </w:rPr>
        <w:t>次氯酸钠最大存放量为</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t，</w:t>
      </w:r>
      <w:r>
        <w:rPr>
          <w:rFonts w:hint="default" w:ascii="Times New Roman" w:hAnsi="Times New Roman" w:eastAsia="宋体" w:cs="Times New Roman"/>
          <w:color w:val="auto"/>
          <w:sz w:val="24"/>
        </w:rPr>
        <w:t>根据《建设项目环境风险评价技术导则》（HJ169-2018）附录B（表 B.1 突发环境事件风险物质及临界量）查得第85项，临界量为5t。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根据《建设项目环境风险评价技术导则》（HJ169-2018）附录C（危险物质及工艺系统危险性（P）的分级），本项目危险物质数量与临界量比值（Q）计算如下：</w:t>
      </w:r>
    </w:p>
    <w:p>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anchor distT="0" distB="0" distL="114300" distR="114300" simplePos="0" relativeHeight="251666432" behindDoc="0" locked="0" layoutInCell="1" allowOverlap="1">
            <wp:simplePos x="0" y="0"/>
            <wp:positionH relativeFrom="column">
              <wp:posOffset>149860</wp:posOffset>
            </wp:positionH>
            <wp:positionV relativeFrom="paragraph">
              <wp:posOffset>127635</wp:posOffset>
            </wp:positionV>
            <wp:extent cx="5285105" cy="1637665"/>
            <wp:effectExtent l="0" t="0" r="10795" b="63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285105" cy="1637665"/>
                    </a:xfrm>
                    <a:prstGeom prst="rect">
                      <a:avLst/>
                    </a:prstGeom>
                  </pic:spPr>
                </pic:pic>
              </a:graphicData>
            </a:graphic>
          </wp:anchor>
        </w:drawing>
      </w:r>
    </w:p>
    <w:p>
      <w:pPr>
        <w:ind w:firstLine="480" w:firstLineChars="200"/>
        <w:rPr>
          <w:rFonts w:hint="default" w:ascii="Times New Roman" w:hAnsi="Times New Roman" w:eastAsia="宋体" w:cs="Times New Roman"/>
          <w:color w:val="auto"/>
          <w:sz w:val="24"/>
        </w:rPr>
      </w:pPr>
    </w:p>
    <w:p>
      <w:pPr>
        <w:ind w:firstLine="480" w:firstLineChars="200"/>
        <w:rPr>
          <w:rFonts w:hint="default" w:ascii="Times New Roman" w:hAnsi="Times New Roman" w:eastAsia="宋体" w:cs="Times New Roman"/>
          <w:color w:val="auto"/>
          <w:sz w:val="24"/>
        </w:rPr>
      </w:pPr>
    </w:p>
    <w:p>
      <w:pPr>
        <w:ind w:firstLine="480" w:firstLineChars="200"/>
        <w:rPr>
          <w:rFonts w:hint="default" w:ascii="Times New Roman" w:hAnsi="Times New Roman" w:eastAsia="宋体" w:cs="Times New Roman"/>
          <w:color w:val="auto"/>
          <w:sz w:val="24"/>
        </w:rPr>
      </w:pPr>
    </w:p>
    <w:p>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经计算，本项目0.132&lt;1。</w:t>
      </w:r>
    </w:p>
    <w:p>
      <w:pPr>
        <w:ind w:firstLine="480" w:firstLineChars="200"/>
        <w:rPr>
          <w:rFonts w:hint="default" w:ascii="Times New Roman" w:hAnsi="Times New Roman" w:eastAsia="宋体" w:cs="Times New Roman"/>
          <w:color w:val="auto"/>
          <w:sz w:val="24"/>
          <w:szCs w:val="24"/>
        </w:rPr>
      </w:pPr>
    </w:p>
    <w:p>
      <w:pPr>
        <w:ind w:firstLine="480" w:firstLineChars="200"/>
        <w:rPr>
          <w:rFonts w:hint="default" w:ascii="Times New Roman" w:hAnsi="Times New Roman" w:eastAsia="宋体" w:cs="Times New Roman"/>
          <w:color w:val="auto"/>
          <w:sz w:val="24"/>
          <w:szCs w:val="24"/>
        </w:rPr>
      </w:pPr>
    </w:p>
    <w:p>
      <w:pPr>
        <w:ind w:firstLine="480" w:firstLineChars="200"/>
        <w:rPr>
          <w:rFonts w:hint="default" w:ascii="Times New Roman" w:hAnsi="Times New Roman" w:eastAsia="宋体" w:cs="Times New Roman"/>
          <w:color w:val="auto"/>
          <w:sz w:val="24"/>
          <w:szCs w:val="24"/>
        </w:rPr>
      </w:pPr>
    </w:p>
    <w:p>
      <w:pPr>
        <w:ind w:firstLine="480" w:firstLineChars="200"/>
        <w:rPr>
          <w:rFonts w:hint="default" w:ascii="Times New Roman" w:hAnsi="Times New Roman" w:eastAsia="宋体" w:cs="Times New Roman"/>
          <w:color w:val="auto"/>
          <w:sz w:val="24"/>
          <w:szCs w:val="24"/>
        </w:rPr>
      </w:pPr>
    </w:p>
    <w:p>
      <w:pPr>
        <w:ind w:firstLine="480" w:firstLineChars="200"/>
        <w:rPr>
          <w:rFonts w:hint="default" w:ascii="Times New Roman" w:hAnsi="Times New Roman" w:eastAsia="宋体" w:cs="Times New Roman"/>
          <w:color w:val="auto"/>
          <w:sz w:val="24"/>
          <w:szCs w:val="24"/>
        </w:rPr>
      </w:pPr>
    </w:p>
    <w:p>
      <w:pPr>
        <w:ind w:firstLine="480" w:firstLineChars="200"/>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 Q＜1 时，该项目环境风险潜势为Ⅰ。</w:t>
      </w:r>
      <w:r>
        <w:rPr>
          <w:rFonts w:hint="default" w:ascii="Times New Roman" w:hAnsi="Times New Roman" w:eastAsia="宋体" w:cs="Times New Roman"/>
          <w:bCs/>
          <w:color w:val="auto"/>
          <w:sz w:val="24"/>
          <w:szCs w:val="24"/>
        </w:rPr>
        <w:t>综上，本项目</w:t>
      </w:r>
      <w:r>
        <w:rPr>
          <w:rFonts w:hint="default" w:ascii="Times New Roman" w:hAnsi="Times New Roman" w:eastAsia="宋体" w:cs="Times New Roman"/>
          <w:color w:val="auto"/>
          <w:sz w:val="24"/>
          <w:szCs w:val="24"/>
        </w:rPr>
        <w:t>环境风险潜势为Ⅰ，只需做简单分析。</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snapToGrid w:val="0"/>
          <w:color w:val="auto"/>
          <w:sz w:val="24"/>
          <w:szCs w:val="24"/>
        </w:rPr>
        <w:t>2.3环境敏感目标概况</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根据危险物质在储存和运输过程中可能造成的影响，本项目确定环境敏感目标，环境敏感目标分布图与环境空气的敏感目标一致。</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2.4环境风险识别</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根据工程特点，本项目主要事故类型可分为原料泄漏、停电、设备损坏、污水处理设施运行不正常、停车检修等，项目可能发生的风险事故见下表。</w:t>
      </w:r>
    </w:p>
    <w:p>
      <w:pPr>
        <w:keepNext w:val="0"/>
        <w:keepLines w:val="0"/>
        <w:pageBreakBefore w:val="0"/>
        <w:widowControl w:val="0"/>
        <w:kinsoku/>
        <w:wordWrap/>
        <w:overflowPunct/>
        <w:topLinePunct w:val="0"/>
        <w:autoSpaceDE/>
        <w:autoSpaceDN/>
        <w:bidi w:val="0"/>
        <w:adjustRightInd/>
        <w:snapToGrid/>
        <w:spacing w:before="79" w:beforeLines="25" w:after="79" w:afterLines="25"/>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表2-2  项目风险事故分析</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351"/>
        <w:gridCol w:w="1200"/>
        <w:gridCol w:w="4230"/>
        <w:gridCol w:w="1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51"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w:t>
            </w:r>
          </w:p>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1200"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w:t>
            </w:r>
          </w:p>
        </w:tc>
        <w:tc>
          <w:tcPr>
            <w:tcW w:w="4230"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环境影响途径</w:t>
            </w:r>
          </w:p>
        </w:tc>
        <w:tc>
          <w:tcPr>
            <w:tcW w:w="1999"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51"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泄漏</w:t>
            </w:r>
          </w:p>
        </w:tc>
        <w:tc>
          <w:tcPr>
            <w:tcW w:w="1200"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次氯酸钠</w:t>
            </w:r>
          </w:p>
        </w:tc>
        <w:tc>
          <w:tcPr>
            <w:tcW w:w="4230"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次氯酸钠由于管理失误，致使原料泄露；</w:t>
            </w:r>
          </w:p>
        </w:tc>
        <w:tc>
          <w:tcPr>
            <w:tcW w:w="1999" w:type="dxa"/>
            <w:vMerge w:val="restart"/>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可能会污染地表水，若不及时控制，可能产生土壤和地下水污染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51"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生活污水应急处理站非正常运转</w:t>
            </w:r>
          </w:p>
        </w:tc>
        <w:tc>
          <w:tcPr>
            <w:tcW w:w="1200"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30" w:type="dxa"/>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生活污水应急处理站由于停电、设备损坏、污水处理设施运行不正常、停车检修等造成大量污水未经处理直接排入周边环境。</w:t>
            </w:r>
          </w:p>
        </w:tc>
        <w:tc>
          <w:tcPr>
            <w:tcW w:w="1999" w:type="dxa"/>
            <w:vMerge w:val="continue"/>
            <w:tcBorders>
              <w:tl2br w:val="nil"/>
              <w:tr2bl w:val="nil"/>
            </w:tcBorders>
            <w:vAlign w:val="center"/>
          </w:tcPr>
          <w:p>
            <w:pPr>
              <w:widowControl w:val="0"/>
              <w:autoSpaceDE w:val="0"/>
              <w:autoSpaceDN w:val="0"/>
              <w:adjustRightInd/>
              <w:snapToGrid/>
              <w:spacing w:line="24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b/>
          <w:bCs/>
          <w:snapToGrid w:val="0"/>
          <w:color w:val="auto"/>
          <w:sz w:val="24"/>
          <w:szCs w:val="24"/>
        </w:rPr>
      </w:pPr>
      <w:r>
        <w:rPr>
          <w:rFonts w:hint="default" w:ascii="Times New Roman" w:hAnsi="Times New Roman" w:eastAsia="宋体" w:cs="Times New Roman"/>
          <w:b/>
          <w:bCs/>
          <w:snapToGrid w:val="0"/>
          <w:color w:val="auto"/>
          <w:sz w:val="24"/>
          <w:szCs w:val="24"/>
        </w:rPr>
        <w:t>2.5环境风险分析</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通过对</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所选用的工艺及整个污水处理系统中所建设施的分析，风险污染事故的类型主要在危险物质泄漏、</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非正常运转状况可能发生的原污水排放、污泥膨胀及恶臭物质排放引起的环境问题。风险污染事故主要包括：</w:t>
      </w:r>
    </w:p>
    <w:p>
      <w:pPr>
        <w:keepNext w:val="0"/>
        <w:keepLines w:val="0"/>
        <w:pageBreakBefore w:val="0"/>
        <w:widowControl w:val="0"/>
        <w:tabs>
          <w:tab w:val="left" w:pos="0"/>
        </w:tabs>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（1）次氯酸钠泄漏</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项目危险物质主要为</w:t>
      </w:r>
      <w:r>
        <w:rPr>
          <w:rFonts w:hint="default" w:ascii="Times New Roman" w:hAnsi="Times New Roman" w:eastAsia="宋体" w:cs="Times New Roman"/>
          <w:bCs/>
          <w:color w:val="auto"/>
          <w:sz w:val="24"/>
          <w:lang w:eastAsia="zh-CN"/>
        </w:rPr>
        <w:t>消毒使用的液态</w:t>
      </w:r>
      <w:r>
        <w:rPr>
          <w:rFonts w:hint="default" w:ascii="Times New Roman" w:hAnsi="Times New Roman" w:eastAsia="宋体" w:cs="Times New Roman"/>
          <w:color w:val="auto"/>
          <w:sz w:val="24"/>
          <w:szCs w:val="24"/>
        </w:rPr>
        <w:t>次氯酸钠，一但发生泄漏，泄露的危险物质进入土壤，可导致土壤碱化、土壤板结。受高热分解会产生有毒的腐蚀性烟气。严重会对人类和动物生命造成威胁。泄露的危险物质通过雨水或者地面径流进入水体，水中生物体内富集，造成其损害、死亡，破坏生态环境。</w:t>
      </w:r>
    </w:p>
    <w:p>
      <w:pPr>
        <w:keepNext w:val="0"/>
        <w:keepLines w:val="0"/>
        <w:pageBreakBefore w:val="0"/>
        <w:widowControl w:val="0"/>
        <w:tabs>
          <w:tab w:val="left" w:pos="0"/>
        </w:tabs>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（2）非正常运转状况的影响</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由于出现一些不可抗拒的外部原因，如停电、突发性自然灾害等，造成污水处理设施停止运行，大量未经处理的污水直接排放，这将是</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非正常排放的极限情况。</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①电力及机械故障</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建成运行后，一旦出现机械设施或电力故障即会造成污水处理设施不能正常运行，污水事故排放。</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污水处理过程中的活性污泥是经过长时间驯化而成的，长时间停电，活性污泥会因缺氧窒息死亡，从而导致工艺过程遭到破坏，恢复污水处理的工艺过程，重新培养驯化活性污泥需很长时间。</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②停运检修</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z w:val="24"/>
          <w:szCs w:val="24"/>
        </w:rPr>
        <w:t>年大修时间为三天至一星期，停运时污水由超越管直接排放到水体，会对水体造成较为严重的污染。</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维护污水系统正常运行过程中产生的维修风险，可能会给维护系统的工作人员带来较大的健康损害。当污水系统某一构筑物出现运行异常，必须立即予以排除，此时需操作人员进入池内操作，污水中的各类以气体形式存在的有毒污染物质会对操作人员产生安全上的危害风险。</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③泵房事故</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水泵站由于长时间停电或污水水泵损坏，排水不畅时易引起污水满溢流入附近河道或地下。如果水泵型号选择有误，未能考虑最大水量通过，污水管网系统由于管道堵塞、破裂和接头处的破损，会造成大量污水外溢，污染地表水和地下水。一旦到达生产旺季或暴雨期间汇入各企业地表径流的初期雨水，将造成水泵来不及打水，污水从集水井溢出而污染环境。在泵站设计中供电采用双电源设计，电力有保障。机械设备考虑采用同类产品中的先进产品，并具有较高的自控水平，因此，由于电力机械故障造成的事故几率很低。</w:t>
      </w:r>
    </w:p>
    <w:p>
      <w:pPr>
        <w:keepNext w:val="0"/>
        <w:keepLines w:val="0"/>
        <w:pageBreakBefore w:val="0"/>
        <w:widowControl w:val="0"/>
        <w:tabs>
          <w:tab w:val="left" w:pos="0"/>
        </w:tabs>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（3）污泥膨胀及恶臭物质排放的影响</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泥中含一定有机物、病原体及其它污染物质，如不进行及时、恰当的处置，将可能散发臭气，或随地表径流进入地表水体，对环境造成二次污染，对人体健康产生危害。此外，若污泥无法及时浓缩、脱水，大量污泥只能暂时放在储泥池中。污泥长时间未经处理放置，引起污泥发酵，出现污泥分层、发泡、散发恶臭气体等现象。另外，储泥池容积是有限的，当储泥池爆满，则出现污泥外溢污染</w:t>
      </w:r>
      <w:r>
        <w:rPr>
          <w:rFonts w:hint="default" w:ascii="Times New Roman" w:hAnsi="Times New Roman" w:eastAsia="宋体" w:cs="Times New Roman"/>
          <w:color w:val="auto"/>
          <w:sz w:val="24"/>
          <w:szCs w:val="24"/>
          <w:lang w:eastAsia="zh-CN"/>
        </w:rPr>
        <w:t>站区</w:t>
      </w:r>
      <w:r>
        <w:rPr>
          <w:rFonts w:hint="default" w:ascii="Times New Roman" w:hAnsi="Times New Roman" w:eastAsia="宋体" w:cs="Times New Roman"/>
          <w:color w:val="auto"/>
          <w:sz w:val="24"/>
          <w:szCs w:val="24"/>
        </w:rPr>
        <w:t>环境等问题。</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2.6环境风险防范措施及应急要求</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（1）泄漏应急处理：</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迅速撤离泄漏污染区人员至上风处，并隔离直至气体散尽，切断火源。建议应急处理人员戴正压自给式呼吸器，穿厂商特别推荐的化学防护服（完全隔离）。不要直接接触泄漏物，尽可能切断泄露源。少量泄露：用啥图、蛭石或其他惰性材料吸收。大量泄露：构筑围堤或挖坑收容。用泡沫覆盖，降低蒸汽灾害。用泵转移至槽车或专用收集器内。</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（2）急救措施：</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皮肤接触：立即脱去被污染的衣着，应用2%硼酸液或大量流动清水彻底冲洗,要特别注意清洗腋窝、会阴等潮湿部位。就医。</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眼睛接触：立即提起眼睑，用大量流动清水或生理盐水彻底冲洗至少15分钟。就医。</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吸入：迅速脱离现场至空气新鲜处。保持呼吸道通畅。如呼吸困难，给输氧。如呼吸停止立即进行人工呼吸。就医。</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（3）泵站维护措施</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z w:val="24"/>
          <w:szCs w:val="24"/>
        </w:rPr>
        <w:t>的稳定运行与泵站的维护密切相关。应十分重视泵站的维护及管理。泵站应设有专人负责，平日加强对机械设备的维护，一旦发生事故应及时进行维修，避免因此而造成的污水溢流入河。</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（4）污染事故的防治措施</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z w:val="24"/>
          <w:szCs w:val="24"/>
        </w:rPr>
        <w:t>机电设备故障或停电的影响对策</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在设计时对关键设备均设有备用，并由双路电源供电，所以此类事件发生概率极小。对于特殊情况下发生此类事件应及时查找原因，尽快恢复电力和设备运行，将事故时间降至最短。配备足够的备用设备和应急零部件。加强对</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z w:val="24"/>
          <w:szCs w:val="24"/>
        </w:rPr>
        <w:t>设备维修与保养，要求设施的管理人员规范化操作，对泵、阀门等定期检修维护，防止突发事件发生。</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B、为使在事故状态下</w:t>
      </w:r>
      <w:r>
        <w:rPr>
          <w:rFonts w:hint="default" w:ascii="Times New Roman" w:hAnsi="Times New Roman" w:eastAsia="宋体" w:cs="Times New Roman"/>
          <w:color w:val="auto"/>
          <w:sz w:val="24"/>
        </w:rPr>
        <w:t>生活污水应急处理站</w:t>
      </w:r>
      <w:r>
        <w:rPr>
          <w:rFonts w:hint="default" w:ascii="Times New Roman" w:hAnsi="Times New Roman" w:eastAsia="宋体" w:cs="Times New Roman"/>
          <w:color w:val="auto"/>
          <w:sz w:val="24"/>
          <w:szCs w:val="24"/>
        </w:rPr>
        <w:t>能够迅速恢复正常运行，应在主要水工建筑物容积上留有相应的缓冲能力，并配有相应设备（如回流泵、回流管道、阀门及仪表等）。</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D、考虑到污水的腐蚀性，淹没于水中的设备、部件所用材料须采用铬镍不锈钢或铸铁等耐腐蚀材料，平台以上部分可为铝合金或碳钢（镀锌或涂刷环氧漆）。</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E、加强运行管理和进出水的监测工作，未经处理达标的污水严禁外排。</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F、加强事故苗头监控，定期巡检、调节、保养、维修，及时发现有可能引起事故的异常运行苗头，消除事故隐患。</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（5）药剂储存管理措施</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加强对污水处理药剂的储存管理，要求加药间阴凉且通风较好，远离火源、热源，室内温度低于30℃，次氯酸钠储罐下方设置围堰以收集储罐泄露事故状态下的废液。定期检修维护药剂投加装置，确保设备正常运行。</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lang w:val="zh-CN"/>
        </w:rPr>
        <w:t>）事故池</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为防止项目废水事故情况下外排，本次评价要求在站区西南侧建设一座事故池，根据参考文献“市政污水处理厂事故水池设计及配套应急响应措施，张海洋，北方环境，第24卷第2期”，事故池的容积约为日处理量的1/8，项目日处理量为</w:t>
      </w:r>
      <w:r>
        <w:rPr>
          <w:rFonts w:hint="default" w:ascii="Times New Roman" w:hAnsi="Times New Roman" w:eastAsia="宋体" w:cs="Times New Roman"/>
          <w:color w:val="auto"/>
          <w:sz w:val="24"/>
          <w:szCs w:val="24"/>
        </w:rPr>
        <w:t>3000</w:t>
      </w:r>
      <w:r>
        <w:rPr>
          <w:rFonts w:hint="default" w:ascii="Times New Roman" w:hAnsi="Times New Roman" w:eastAsia="宋体" w:cs="Times New Roman"/>
          <w:color w:val="auto"/>
          <w:sz w:val="24"/>
          <w:szCs w:val="24"/>
          <w:lang w:val="zh-CN"/>
        </w:rPr>
        <w:t>m³，故本次评价要求在站区</w:t>
      </w:r>
      <w:r>
        <w:rPr>
          <w:rFonts w:hint="default" w:ascii="Times New Roman" w:hAnsi="Times New Roman" w:eastAsia="宋体" w:cs="Times New Roman"/>
          <w:color w:val="auto"/>
          <w:sz w:val="24"/>
          <w:szCs w:val="24"/>
          <w:lang w:val="zh-CN" w:eastAsia="zh-CN"/>
        </w:rPr>
        <w:t>西南</w:t>
      </w:r>
      <w:r>
        <w:rPr>
          <w:rFonts w:hint="default" w:ascii="Times New Roman" w:hAnsi="Times New Roman" w:eastAsia="宋体" w:cs="Times New Roman"/>
          <w:color w:val="auto"/>
          <w:sz w:val="24"/>
          <w:szCs w:val="24"/>
          <w:lang w:val="zh-CN"/>
        </w:rPr>
        <w:t>侧建设一座</w:t>
      </w:r>
      <w:r>
        <w:rPr>
          <w:rFonts w:hint="default" w:ascii="Times New Roman" w:hAnsi="Times New Roman" w:eastAsia="宋体" w:cs="Times New Roman"/>
          <w:color w:val="auto"/>
          <w:sz w:val="24"/>
          <w:szCs w:val="24"/>
        </w:rPr>
        <w:t>375</w:t>
      </w:r>
      <w:r>
        <w:rPr>
          <w:rFonts w:hint="default" w:ascii="Times New Roman" w:hAnsi="Times New Roman" w:eastAsia="宋体" w:cs="Times New Roman"/>
          <w:color w:val="auto"/>
          <w:sz w:val="24"/>
          <w:szCs w:val="24"/>
          <w:lang w:val="zh-CN"/>
        </w:rPr>
        <w:t>m³事故池。</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建设项目环境风险简单分析内容表见表2-3。</w:t>
      </w:r>
      <w:r>
        <w:rPr>
          <w:rFonts w:hint="default" w:ascii="Times New Roman" w:hAnsi="Times New Roman" w:eastAsia="宋体" w:cs="Times New Roman"/>
          <w:color w:val="auto"/>
          <w:sz w:val="24"/>
          <w:szCs w:val="24"/>
          <w:lang w:eastAsia="zh-CN"/>
        </w:rPr>
        <w:t>环境风险自查表见表</w:t>
      </w:r>
      <w:r>
        <w:rPr>
          <w:rFonts w:hint="default" w:ascii="Times New Roman" w:hAnsi="Times New Roman" w:eastAsia="宋体" w:cs="Times New Roman"/>
          <w:color w:val="auto"/>
          <w:sz w:val="24"/>
          <w:szCs w:val="24"/>
          <w:lang w:val="en-US" w:eastAsia="zh-CN"/>
        </w:rPr>
        <w:t>2-4。</w:t>
      </w:r>
    </w:p>
    <w:p>
      <w:pPr>
        <w:keepNext w:val="0"/>
        <w:keepLines w:val="0"/>
        <w:pageBreakBefore w:val="0"/>
        <w:widowControl w:val="0"/>
        <w:kinsoku/>
        <w:wordWrap/>
        <w:overflowPunct/>
        <w:topLinePunct w:val="0"/>
        <w:autoSpaceDE/>
        <w:autoSpaceDN/>
        <w:bidi w:val="0"/>
        <w:adjustRightInd/>
        <w:snapToGrid/>
        <w:spacing w:before="79" w:beforeLines="25" w:after="79" w:afterLines="25"/>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表2-3  建设项目环境风险简单分析内容表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83"/>
        <w:gridCol w:w="1207"/>
        <w:gridCol w:w="1894"/>
        <w:gridCol w:w="1894"/>
        <w:gridCol w:w="1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1"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6703"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山西省繁峙县3000m³生活污水应急处理站项目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1"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120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山西省</w:t>
            </w:r>
          </w:p>
        </w:tc>
        <w:tc>
          <w:tcPr>
            <w:tcW w:w="1894"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忻州市</w:t>
            </w:r>
          </w:p>
        </w:tc>
        <w:tc>
          <w:tcPr>
            <w:tcW w:w="1894"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繁峙县</w:t>
            </w:r>
          </w:p>
        </w:tc>
        <w:tc>
          <w:tcPr>
            <w:tcW w:w="170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笔峰村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1"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120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1894"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113°14'27.76"</w:t>
            </w:r>
          </w:p>
        </w:tc>
        <w:tc>
          <w:tcPr>
            <w:tcW w:w="1894"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170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39°10'48.55"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1" w:type="pct"/>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主要危险物质及分布</w:t>
            </w:r>
          </w:p>
        </w:tc>
        <w:tc>
          <w:tcPr>
            <w:tcW w:w="6703"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次氯酸钠</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3"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环境影响途径及危害后果（大气、地表水、地下水等）</w:t>
            </w:r>
          </w:p>
        </w:tc>
        <w:tc>
          <w:tcPr>
            <w:tcW w:w="6703" w:type="dxa"/>
            <w:gridSpan w:val="4"/>
            <w:tcBorders>
              <w:tl2br w:val="nil"/>
              <w:tr2bl w:val="nil"/>
            </w:tcBorders>
            <w:shd w:val="clear" w:color="auto" w:fill="auto"/>
          </w:tcPr>
          <w:p>
            <w:pPr>
              <w:pStyle w:val="2"/>
              <w:widowControl/>
              <w:spacing w:after="0" w:line="240" w:lineRule="auto"/>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①人员操作失误可能引发的各种人为事故，包括设备错误运行可能产生的噪声、人为造成的设备损坏引发失火等事故，造成大气和水污染。</w:t>
            </w:r>
          </w:p>
          <w:p>
            <w:pPr>
              <w:pStyle w:val="2"/>
              <w:widowControl/>
              <w:spacing w:after="0" w:line="240" w:lineRule="auto"/>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②设备故障事故及检修，设备长时间使用或者老化引起的设备短路等可能引起失火事故，造成大气和水污染。</w:t>
            </w:r>
          </w:p>
          <w:p>
            <w:pPr>
              <w:pStyle w:val="2"/>
              <w:widowControl/>
              <w:spacing w:after="0" w:line="240" w:lineRule="auto"/>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项目危险物质主要为次氯酸钠，一但发生泄漏，泄露的危险物质进入土壤，可导致土壤碱化、土壤板结。受高热分解会产生有毒的腐蚀性烟气。严重会对人类和动物生命造成威胁。泄露的危险物质通过雨水或者地面径流进入水体，水中生物体内富集，造成其损害、死亡，破坏生态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3"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6703" w:type="dxa"/>
            <w:gridSpan w:val="4"/>
            <w:tcBorders>
              <w:tl2br w:val="nil"/>
              <w:tr2bl w:val="nil"/>
            </w:tcBorders>
            <w:shd w:val="clear" w:color="auto" w:fill="auto"/>
          </w:tcPr>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①严格执行设备的维护保养、定期对设备、仪表、阀门、安全装置等进行检查和校验。</w:t>
            </w:r>
          </w:p>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②在设备管理上应重视对设备、管道质量、材质和施工安装质量的检查验收，杜绝使用劣质材料，加强设备的运行检查。</w:t>
            </w:r>
          </w:p>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③严格密封，操作中巡回检查，对已出现的泄露，及时发现立即清除，暂时不能清除的要采取有效的应急措施，以免扩大和发生灾难性的事故。</w:t>
            </w:r>
          </w:p>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（2）设备故障事故及检修</w:t>
            </w:r>
          </w:p>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①为使在事故状态下污水处理站仪表等设备正常运转，必须选择质量优良、事故率低、便于维修的产品。关键设备应有备用，易损部件也要有备用，在事故出现时做到及时更换。</w:t>
            </w:r>
          </w:p>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②加强事故苗头控制，做到定期巡检，调节、保养、维修，及时发现可能引起事故的异常运行苗头，消除事故隐患。</w:t>
            </w:r>
          </w:p>
          <w:p>
            <w:pPr>
              <w:pStyle w:val="7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③严格控制处理单元的水量、水质、停留时间、负荷强度等，确保处理效果的稳定性，定期采样检测，使设备处理最佳工况，发现不正常现象，应立即采取预防措施。</w:t>
            </w:r>
          </w:p>
          <w:p>
            <w:pPr>
              <w:pStyle w:val="70"/>
              <w:widowControl w:val="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④加强运行管理和进出水的监测工作，未经处理达标的污水严禁外排。</w:t>
            </w:r>
          </w:p>
          <w:p>
            <w:pPr>
              <w:pStyle w:val="70"/>
              <w:widowControl w:val="0"/>
              <w:autoSpaceDE w:val="0"/>
              <w:autoSpaceDN w:val="0"/>
              <w:spacing w:before="0" w:beforeAutospacing="0" w:after="0" w:afterAutospacing="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⑤污水处理站应针对可能发生的进水污染事故，建立合适的事故处理程序、机制和措施。一旦发生事故，则采取相应措施，将事故对环境的影响控制在最小或较小范围内。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3"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填表说明（列出项目相关信息及评价说明）：</w:t>
            </w:r>
          </w:p>
        </w:tc>
        <w:tc>
          <w:tcPr>
            <w:tcW w:w="6703" w:type="dxa"/>
            <w:gridSpan w:val="4"/>
            <w:tcBorders>
              <w:tl2br w:val="nil"/>
              <w:tr2bl w:val="nil"/>
            </w:tcBorders>
            <w:shd w:val="clear" w:color="auto" w:fill="auto"/>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本项目风险物质主要为次氯酸钠，风险类型为泄漏，评价等级为简单分析，经过采取环评提出的环境风险防范措施后，本项目环境风险是可以接受的。</w:t>
            </w:r>
          </w:p>
        </w:tc>
      </w:tr>
    </w:tbl>
    <w:p>
      <w:pPr>
        <w:keepNext w:val="0"/>
        <w:keepLines w:val="0"/>
        <w:pageBreakBefore w:val="0"/>
        <w:widowControl w:val="0"/>
        <w:kinsoku/>
        <w:wordWrap/>
        <w:overflowPunct/>
        <w:topLinePunct w:val="0"/>
        <w:autoSpaceDE/>
        <w:autoSpaceDN/>
        <w:bidi w:val="0"/>
        <w:adjustRightInd/>
        <w:snapToGrid/>
        <w:spacing w:before="79" w:beforeLines="25" w:after="79" w:afterLines="25"/>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2-4</w:t>
      </w:r>
      <w:r>
        <w:rPr>
          <w:rFonts w:hint="default" w:ascii="Times New Roman" w:hAnsi="Times New Roman" w:eastAsia="宋体" w:cs="Times New Roman"/>
          <w:b/>
          <w:bCs/>
          <w:color w:val="auto"/>
          <w:sz w:val="24"/>
        </w:rPr>
        <w:t xml:space="preserve">   环境风险自查表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13"/>
        <w:gridCol w:w="828"/>
        <w:gridCol w:w="876"/>
        <w:gridCol w:w="700"/>
        <w:gridCol w:w="394"/>
        <w:gridCol w:w="65"/>
        <w:gridCol w:w="592"/>
        <w:gridCol w:w="263"/>
        <w:gridCol w:w="262"/>
        <w:gridCol w:w="578"/>
        <w:gridCol w:w="212"/>
        <w:gridCol w:w="438"/>
        <w:gridCol w:w="265"/>
        <w:gridCol w:w="84"/>
        <w:gridCol w:w="527"/>
        <w:gridCol w:w="139"/>
        <w:gridCol w:w="154"/>
        <w:gridCol w:w="364"/>
        <w:gridCol w:w="219"/>
        <w:gridCol w:w="174"/>
        <w:gridCol w:w="702"/>
        <w:gridCol w:w="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工作内容</w:t>
            </w:r>
          </w:p>
        </w:tc>
        <w:tc>
          <w:tcPr>
            <w:tcW w:w="7885" w:type="dxa"/>
            <w:gridSpan w:val="20"/>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restart"/>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风险调查</w:t>
            </w:r>
          </w:p>
        </w:tc>
        <w:tc>
          <w:tcPr>
            <w:tcW w:w="828"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危险物质</w:t>
            </w: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1159"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次氯酸钠</w:t>
            </w:r>
          </w:p>
        </w:tc>
        <w:tc>
          <w:tcPr>
            <w:tcW w:w="855"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40"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915"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750"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737"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7"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存在总量</w:t>
            </w:r>
          </w:p>
        </w:tc>
        <w:tc>
          <w:tcPr>
            <w:tcW w:w="1159"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t</w:t>
            </w:r>
          </w:p>
        </w:tc>
        <w:tc>
          <w:tcPr>
            <w:tcW w:w="855"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40"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915"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750"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737"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7"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环境敏感性</w:t>
            </w:r>
          </w:p>
        </w:tc>
        <w:tc>
          <w:tcPr>
            <w:tcW w:w="876"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3504" w:type="dxa"/>
            <w:gridSpan w:val="9"/>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500m范围内人数</w:t>
            </w:r>
            <w:r>
              <w:rPr>
                <w:rFonts w:hint="default" w:ascii="Times New Roman" w:hAnsi="Times New Roman" w:eastAsia="宋体" w:cs="Times New Roman"/>
                <w:color w:val="auto"/>
                <w:kern w:val="0"/>
                <w:sz w:val="21"/>
                <w:szCs w:val="21"/>
                <w:u w:val="single"/>
              </w:rPr>
              <w:t xml:space="preserve">  520 </w:t>
            </w:r>
            <w:r>
              <w:rPr>
                <w:rFonts w:hint="default" w:ascii="Times New Roman" w:hAnsi="Times New Roman" w:eastAsia="宋体" w:cs="Times New Roman"/>
                <w:color w:val="auto"/>
                <w:kern w:val="0"/>
                <w:sz w:val="21"/>
                <w:szCs w:val="21"/>
              </w:rPr>
              <w:t>人</w:t>
            </w:r>
          </w:p>
        </w:tc>
        <w:tc>
          <w:tcPr>
            <w:tcW w:w="3505" w:type="dxa"/>
            <w:gridSpan w:val="10"/>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5km范围内人数</w:t>
            </w:r>
            <w:r>
              <w:rPr>
                <w:rFonts w:hint="default" w:ascii="Times New Roman" w:hAnsi="Times New Roman" w:eastAsia="宋体" w:cs="Times New Roman"/>
                <w:color w:val="auto"/>
                <w:kern w:val="0"/>
                <w:sz w:val="21"/>
                <w:szCs w:val="21"/>
                <w:u w:val="single"/>
              </w:rPr>
              <w:t xml:space="preserve">  3137  </w:t>
            </w:r>
            <w:r>
              <w:rPr>
                <w:rFonts w:hint="default" w:ascii="Times New Roman" w:hAnsi="Times New Roman" w:eastAsia="宋体" w:cs="Times New Roman"/>
                <w:color w:val="auto"/>
                <w:kern w:val="0"/>
                <w:sz w:val="21"/>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6132" w:type="dxa"/>
            <w:gridSpan w:val="18"/>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每公里管段周边200m范围内人口数（最大）</w:t>
            </w:r>
          </w:p>
        </w:tc>
        <w:tc>
          <w:tcPr>
            <w:tcW w:w="877"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rPr>
            </w:pP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地表水功能敏感性</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F1</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F2</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环境敏感目标分级</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S1</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S2</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w:t>
            </w: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地下水功能敏感性</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G1</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G2</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包气带防污性能</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D1</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D2</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物质及工艺系统</w:t>
            </w: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Q值</w:t>
            </w: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Q＜1</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1≤Q＜10</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10≤Q＜100</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Q＞100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M值</w:t>
            </w: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M1</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M2</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M3</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P值</w:t>
            </w:r>
          </w:p>
        </w:tc>
        <w:tc>
          <w:tcPr>
            <w:tcW w:w="1751"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P1</w:t>
            </w:r>
          </w:p>
        </w:tc>
        <w:tc>
          <w:tcPr>
            <w:tcW w:w="1753"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P2</w:t>
            </w:r>
          </w:p>
        </w:tc>
        <w:tc>
          <w:tcPr>
            <w:tcW w:w="17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P3</w:t>
            </w:r>
          </w:p>
        </w:tc>
        <w:tc>
          <w:tcPr>
            <w:tcW w:w="1753"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环境敏感程度</w:t>
            </w: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2276"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E1</w:t>
            </w:r>
          </w:p>
        </w:tc>
        <w:tc>
          <w:tcPr>
            <w:tcW w:w="2397" w:type="dxa"/>
            <w:gridSpan w:val="8"/>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E2</w:t>
            </w:r>
          </w:p>
        </w:tc>
        <w:tc>
          <w:tcPr>
            <w:tcW w:w="2336"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2276"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E1</w:t>
            </w:r>
          </w:p>
        </w:tc>
        <w:tc>
          <w:tcPr>
            <w:tcW w:w="2397" w:type="dxa"/>
            <w:gridSpan w:val="8"/>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E2</w:t>
            </w:r>
          </w:p>
        </w:tc>
        <w:tc>
          <w:tcPr>
            <w:tcW w:w="2336"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76"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w:t>
            </w:r>
          </w:p>
        </w:tc>
        <w:tc>
          <w:tcPr>
            <w:tcW w:w="2276"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E1</w:t>
            </w:r>
          </w:p>
        </w:tc>
        <w:tc>
          <w:tcPr>
            <w:tcW w:w="2397" w:type="dxa"/>
            <w:gridSpan w:val="8"/>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E2</w:t>
            </w:r>
          </w:p>
        </w:tc>
        <w:tc>
          <w:tcPr>
            <w:tcW w:w="2336"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环境风险潜势</w:t>
            </w:r>
          </w:p>
        </w:tc>
        <w:tc>
          <w:tcPr>
            <w:tcW w:w="1576"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Ⅳ</w:t>
            </w:r>
            <w:r>
              <w:rPr>
                <w:rFonts w:hint="default" w:ascii="Times New Roman" w:hAnsi="Times New Roman" w:eastAsia="宋体" w:cs="Times New Roman"/>
                <w:color w:val="auto"/>
                <w:kern w:val="0"/>
                <w:sz w:val="21"/>
                <w:szCs w:val="21"/>
                <w:vertAlign w:val="superscript"/>
              </w:rPr>
              <w:t>+</w:t>
            </w:r>
          </w:p>
        </w:tc>
        <w:tc>
          <w:tcPr>
            <w:tcW w:w="1576"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Ⅳ</w:t>
            </w:r>
          </w:p>
        </w:tc>
        <w:tc>
          <w:tcPr>
            <w:tcW w:w="1577"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Ⅲ</w:t>
            </w:r>
          </w:p>
        </w:tc>
        <w:tc>
          <w:tcPr>
            <w:tcW w:w="1577"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Ⅱ</w:t>
            </w:r>
          </w:p>
        </w:tc>
        <w:tc>
          <w:tcPr>
            <w:tcW w:w="1579"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评价等级</w:t>
            </w:r>
          </w:p>
        </w:tc>
        <w:tc>
          <w:tcPr>
            <w:tcW w:w="3152"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一级</w:t>
            </w:r>
          </w:p>
        </w:tc>
        <w:tc>
          <w:tcPr>
            <w:tcW w:w="1577"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二级</w:t>
            </w:r>
          </w:p>
        </w:tc>
        <w:tc>
          <w:tcPr>
            <w:tcW w:w="1577"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c>
          <w:tcPr>
            <w:tcW w:w="1579"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风险识别</w:t>
            </w:r>
          </w:p>
        </w:tc>
        <w:tc>
          <w:tcPr>
            <w:tcW w:w="828"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物质危险性</w:t>
            </w:r>
          </w:p>
        </w:tc>
        <w:tc>
          <w:tcPr>
            <w:tcW w:w="3942" w:type="dxa"/>
            <w:gridSpan w:val="9"/>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有毒有害√</w:t>
            </w:r>
          </w:p>
        </w:tc>
        <w:tc>
          <w:tcPr>
            <w:tcW w:w="3943" w:type="dxa"/>
            <w:gridSpan w:val="11"/>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易燃易爆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环境风险性</w:t>
            </w:r>
          </w:p>
        </w:tc>
        <w:tc>
          <w:tcPr>
            <w:tcW w:w="3942" w:type="dxa"/>
            <w:gridSpan w:val="9"/>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泄漏√</w:t>
            </w:r>
          </w:p>
        </w:tc>
        <w:tc>
          <w:tcPr>
            <w:tcW w:w="3943" w:type="dxa"/>
            <w:gridSpan w:val="11"/>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火灾、爆炸引发伴生/次生污染物排放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影响途径</w:t>
            </w:r>
          </w:p>
        </w:tc>
        <w:tc>
          <w:tcPr>
            <w:tcW w:w="2627"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2629" w:type="dxa"/>
            <w:gridSpan w:val="8"/>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2629"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事故情形分析</w:t>
            </w:r>
          </w:p>
        </w:tc>
        <w:tc>
          <w:tcPr>
            <w:tcW w:w="1970"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源强设定方法</w:t>
            </w:r>
          </w:p>
        </w:tc>
        <w:tc>
          <w:tcPr>
            <w:tcW w:w="1972"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计算法</w:t>
            </w:r>
          </w:p>
        </w:tc>
        <w:tc>
          <w:tcPr>
            <w:tcW w:w="1971"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经验估算法</w:t>
            </w:r>
          </w:p>
        </w:tc>
        <w:tc>
          <w:tcPr>
            <w:tcW w:w="1972"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其他估算法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风险预测与评价</w:t>
            </w:r>
          </w:p>
        </w:tc>
        <w:tc>
          <w:tcPr>
            <w:tcW w:w="828"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1970" w:type="dxa"/>
            <w:gridSpan w:val="3"/>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预测模型</w:t>
            </w:r>
          </w:p>
        </w:tc>
        <w:tc>
          <w:tcPr>
            <w:tcW w:w="1972" w:type="dxa"/>
            <w:gridSpan w:val="6"/>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SLAB</w:t>
            </w:r>
          </w:p>
        </w:tc>
        <w:tc>
          <w:tcPr>
            <w:tcW w:w="1971" w:type="dxa"/>
            <w:gridSpan w:val="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AFTOX</w:t>
            </w:r>
          </w:p>
        </w:tc>
        <w:tc>
          <w:tcPr>
            <w:tcW w:w="1972" w:type="dxa"/>
            <w:gridSpan w:val="4"/>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970" w:type="dxa"/>
            <w:gridSpan w:val="3"/>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预测结果</w:t>
            </w:r>
          </w:p>
        </w:tc>
        <w:tc>
          <w:tcPr>
            <w:tcW w:w="5915" w:type="dxa"/>
            <w:gridSpan w:val="1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大气毒性重点浓度-1 最大影响范围为</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970" w:type="dxa"/>
            <w:gridSpan w:val="3"/>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5915" w:type="dxa"/>
            <w:gridSpan w:val="17"/>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大气毒性重点浓度-2 最大影响范围为</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7885" w:type="dxa"/>
            <w:gridSpan w:val="20"/>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rPr>
            </w:pPr>
            <w:r>
              <w:rPr>
                <w:rFonts w:hint="default" w:ascii="Times New Roman" w:hAnsi="Times New Roman" w:eastAsia="宋体" w:cs="Times New Roman"/>
                <w:color w:val="auto"/>
                <w:kern w:val="0"/>
                <w:sz w:val="21"/>
                <w:szCs w:val="21"/>
              </w:rPr>
              <w:t>最近环境敏感目标</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，到达时间</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w:t>
            </w:r>
          </w:p>
        </w:tc>
        <w:tc>
          <w:tcPr>
            <w:tcW w:w="7885" w:type="dxa"/>
            <w:gridSpan w:val="20"/>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下游厂界到达时间</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3"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28" w:type="dxa"/>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7885" w:type="dxa"/>
            <w:gridSpan w:val="20"/>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最近环境敏感目标</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，到达时间</w:t>
            </w:r>
            <w:r>
              <w:rPr>
                <w:rFonts w:hint="default" w:ascii="Times New Roman" w:hAnsi="Times New Roman" w:eastAsia="宋体" w:cs="Times New Roman"/>
                <w:color w:val="auto"/>
                <w:kern w:val="0"/>
                <w:sz w:val="21"/>
                <w:szCs w:val="21"/>
                <w:u w:val="single"/>
              </w:rPr>
              <w:t xml:space="preserve">        </w:t>
            </w:r>
            <w:r>
              <w:rPr>
                <w:rFonts w:hint="default" w:ascii="Times New Roman" w:hAnsi="Times New Roman" w:eastAsia="宋体" w:cs="Times New Roman"/>
                <w:color w:val="auto"/>
                <w:kern w:val="0"/>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重点风险防范措施</w:t>
            </w:r>
          </w:p>
        </w:tc>
        <w:tc>
          <w:tcPr>
            <w:tcW w:w="7885" w:type="dxa"/>
            <w:gridSpan w:val="20"/>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1" w:type="dxa"/>
            <w:gridSpan w:val="2"/>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评价结论与建议</w:t>
            </w:r>
          </w:p>
        </w:tc>
        <w:tc>
          <w:tcPr>
            <w:tcW w:w="7885" w:type="dxa"/>
            <w:gridSpan w:val="20"/>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环境风险可以接受</w:t>
            </w:r>
          </w:p>
        </w:tc>
      </w:tr>
    </w:tbl>
    <w:p>
      <w:pPr>
        <w:widowControl w:val="0"/>
        <w:adjustRightInd/>
        <w:snapToGrid/>
        <w:jc w:val="center"/>
        <w:rPr>
          <w:rFonts w:hint="default" w:ascii="Times New Roman" w:hAnsi="Times New Roman" w:eastAsia="宋体" w:cs="Times New Roman"/>
          <w:b/>
          <w:color w:val="auto"/>
          <w:kern w:val="2"/>
          <w:sz w:val="44"/>
          <w:szCs w:val="44"/>
        </w:rPr>
        <w:sectPr>
          <w:headerReference r:id="rId18" w:type="default"/>
          <w:footerReference r:id="rId19" w:type="default"/>
          <w:pgSz w:w="11906" w:h="16838"/>
          <w:pgMar w:top="1418" w:right="1418" w:bottom="1418" w:left="1418" w:header="851" w:footer="283"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480" w:lineRule="exact"/>
        <w:jc w:val="center"/>
        <w:textAlignment w:val="auto"/>
        <w:rPr>
          <w:rFonts w:hint="default" w:ascii="Times New Roman" w:hAnsi="Times New Roman" w:eastAsia="宋体" w:cs="Times New Roman"/>
          <w:color w:val="auto"/>
          <w:sz w:val="32"/>
          <w:szCs w:val="32"/>
        </w:rPr>
      </w:pPr>
      <w:bookmarkStart w:id="44" w:name="_Toc9378"/>
      <w:r>
        <w:rPr>
          <w:rFonts w:hint="default" w:ascii="Times New Roman" w:hAnsi="Times New Roman" w:eastAsia="宋体" w:cs="Times New Roman"/>
          <w:color w:val="auto"/>
          <w:sz w:val="32"/>
          <w:szCs w:val="32"/>
        </w:rPr>
        <w:t>第三章地表水环境影响评价</w:t>
      </w:r>
      <w:bookmarkEnd w:id="44"/>
    </w:p>
    <w:p>
      <w:pPr>
        <w:keepNext w:val="0"/>
        <w:keepLines w:val="0"/>
        <w:pageBreakBefore w:val="0"/>
        <w:widowControl w:val="0"/>
        <w:tabs>
          <w:tab w:val="left" w:pos="312"/>
        </w:tabs>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45" w:name="_Toc16250"/>
      <w:r>
        <w:rPr>
          <w:rFonts w:hint="default" w:ascii="Times New Roman" w:hAnsi="Times New Roman" w:eastAsia="宋体" w:cs="Times New Roman"/>
          <w:b/>
          <w:bCs/>
          <w:color w:val="auto"/>
          <w:sz w:val="24"/>
        </w:rPr>
        <w:t>3.0 河流概况</w:t>
      </w:r>
      <w:bookmarkEnd w:id="4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本项目所在流域为滹沱河。</w:t>
      </w:r>
      <w:r>
        <w:rPr>
          <w:rFonts w:hint="default" w:ascii="Times New Roman" w:hAnsi="Times New Roman" w:eastAsia="宋体" w:cs="Times New Roman"/>
          <w:bCs/>
          <w:color w:val="auto"/>
          <w:sz w:val="24"/>
        </w:rPr>
        <w:t>处理后的水排入滹沱河，滹沱河古又作虖池(音同"呼驼")或滹池，是海河水系的主要河流之一。滹沱河发源于山西省繁峙县泰戏山孤山村一带，向西南流经恒山与五台山之间，至界河折向东流，切穿系舟山和太行山，东流至河北省献县臧桥与滏阳河相汇成子牙河后入海。全长587公里，流域面积2.73万平方公里。主要</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"https://baike.so.com/doc/6187909-6401161.html"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支流</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有</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"https://baike.so.com/doc/9084577-9416311.html"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阳武河</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"https://baike.so.com/doc/2328833-2463187.html"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云中河</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、牧马河、同河、清水河、南坪河、</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"https://baike.so.com/doc/5441522-5679849.html"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冶河</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等，呈羽状排列，主要集中在黄壁庄以上，以下无支流汇入。流域内地势自西向东呈阶梯状倾斜，西部地处</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"https://baike.so.com/doc/6701418-6915358.html"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山西高原</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东缘山地和盆地，地势高，黄土分布较厚;中部为太行山背斜形成的山地，富煤矿;东部为平原。流域内天然植被稀少，水土流失较重。流经山区、山地和丘陵的面积约占全流域面积的86%，河流总落差达1800余米。瑶池以上为上游，沿五台山向西南流淌于带状盆地中，</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"https://baike.so.com/doc/23782492-24338541.html"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河槽</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宽自一二百米至千米不等，水流缓慢。瑶池至岗南为</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"https://baike.so.com/doc/1435424-1517283.html"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中游</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，流经太行山区，河谷深切，呈"V"形谷，宽度均在200米以下，落差大，水流湍急。黄壁庄以下为下游，流经平原，河道宽广，最宽可达6000米，水流缓慢，泥沙淤积，渐成地上河或半地上河，两岸筑有</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"https://baike.so.com/doc/6192242-6405494.html"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堤防</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流域属温带大陆性季风气候，气温自东向西随地势升高而递减，年降水量400~700毫米，集中于夏季。</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"https://baike.so.com/doc/6580331-6794099.html"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地表径流</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主要由降雨补给。年均径流量约22亿立方米，分布不均，以太行山东坡产流较大，愈往上游愈小。径流的年内分配也不均匀，年际变化大，多水年的水量为少水年的10倍。由暴雨酿成的洪水，峰高量大，陡涨陡落，主要来自干流和冶河，多发生在7~8月。含沙量11.4千克/立方米，年输沙量2920吨。全流域已建有岗南、黄壁庄(见</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"https://baike.so.com/doc/6537850-6751589.html"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岗南水库</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"https://baike.so.com/doc/4991102-5214879.html"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黄壁庄水利枢纽</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)、孤山、下茹越、观上、双乳山、石板、下观、</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"https://baike.so.com/doc/6708320-6922336.html"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大石门</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、郭庄等大中水库10座及众多小型水库、塘坝，洪水灾害基本控制，灌溉、发电效益显著。流域内矿藏丰富，尤富煤。有石家庄、阳泉等城市，经济发达。</w:t>
      </w:r>
      <w:bookmarkStart w:id="220" w:name="_GoBack"/>
      <w:bookmarkEnd w:id="220"/>
      <w:r>
        <w:rPr>
          <w:rFonts w:hint="default" w:ascii="Times New Roman" w:hAnsi="Times New Roman" w:eastAsia="宋体" w:cs="Times New Roman"/>
          <w:bCs/>
          <w:color w:val="auto"/>
          <w:sz w:val="24"/>
        </w:rPr>
        <w:t>革命</w:t>
      </w:r>
      <w:r>
        <w:rPr>
          <w:rFonts w:hint="eastAsia" w:cs="Times New Roman"/>
          <w:bCs/>
          <w:color w:val="auto"/>
          <w:sz w:val="24"/>
          <w:lang w:eastAsia="zh-CN"/>
        </w:rPr>
        <w:t>圣</w:t>
      </w:r>
      <w:r>
        <w:rPr>
          <w:rFonts w:hint="default" w:ascii="Times New Roman" w:hAnsi="Times New Roman" w:eastAsia="宋体" w:cs="Times New Roman"/>
          <w:bCs/>
          <w:color w:val="auto"/>
          <w:sz w:val="24"/>
        </w:rPr>
        <w:t>地西柏坡(见</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"https://baike.so.com/doc/5333997-5569435.html"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平山县</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"https://baike.so.com/doc/6306669-6520252.html"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sz w:val="24"/>
        </w:rPr>
        <w:t>苍岩山风景区</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及隆兴寺等名胜古迹可供游览。</w:t>
      </w:r>
    </w:p>
    <w:p>
      <w:pPr>
        <w:ind w:firstLine="437"/>
        <w:rPr>
          <w:rFonts w:hint="default" w:ascii="Times New Roman" w:hAnsi="Times New Roman" w:eastAsia="宋体" w:cs="Times New Roman"/>
          <w:color w:val="auto"/>
          <w:sz w:val="24"/>
        </w:rPr>
      </w:pPr>
    </w:p>
    <w:p>
      <w:pPr>
        <w:pStyle w:val="75"/>
        <w:ind w:firstLine="210"/>
        <w:rPr>
          <w:rFonts w:hint="default" w:ascii="Times New Roman" w:hAnsi="Times New Roman" w:eastAsia="宋体" w:cs="Times New Roman"/>
          <w:color w:val="auto"/>
        </w:rPr>
      </w:pPr>
    </w:p>
    <w:p>
      <w:pPr>
        <w:ind w:firstLine="437"/>
        <w:rPr>
          <w:rFonts w:hint="default" w:ascii="Times New Roman" w:hAnsi="Times New Roman" w:eastAsia="宋体" w:cs="Times New Roman"/>
          <w:color w:val="auto"/>
          <w:sz w:val="24"/>
        </w:rPr>
      </w:pPr>
    </w:p>
    <w:p>
      <w:pPr>
        <w:pStyle w:val="2"/>
        <w:rPr>
          <w:rFonts w:hint="default" w:ascii="Times New Roman" w:hAnsi="Times New Roman" w:eastAsia="宋体" w:cs="Times New Roman"/>
          <w:color w:val="auto"/>
          <w:sz w:val="24"/>
        </w:rPr>
      </w:pPr>
    </w:p>
    <w:p>
      <w:pPr>
        <w:rPr>
          <w:rFonts w:hint="default" w:ascii="Times New Roman" w:hAnsi="Times New Roman" w:eastAsia="宋体" w:cs="Times New Roman"/>
          <w:color w:val="auto"/>
          <w:sz w:val="24"/>
        </w:rPr>
      </w:pPr>
    </w:p>
    <w:p>
      <w:pPr>
        <w:pStyle w:val="2"/>
        <w:rPr>
          <w:rFonts w:hint="default" w:ascii="Times New Roman" w:hAnsi="Times New Roman" w:eastAsia="宋体" w:cs="Times New Roman"/>
          <w:color w:val="auto"/>
          <w:sz w:val="24"/>
        </w:rPr>
      </w:pPr>
    </w:p>
    <w:p>
      <w:pPr>
        <w:rPr>
          <w:rFonts w:hint="default" w:ascii="Times New Roman" w:hAnsi="Times New Roman" w:eastAsia="宋体" w:cs="Times New Roman"/>
        </w:rPr>
      </w:pPr>
    </w:p>
    <w:p>
      <w:pPr>
        <w:pStyle w:val="75"/>
        <w:ind w:firstLine="210"/>
        <w:rPr>
          <w:rFonts w:hint="default" w:ascii="Times New Roman" w:hAnsi="Times New Roman" w:eastAsia="宋体" w:cs="Times New Roman"/>
          <w:color w:val="auto"/>
        </w:rPr>
      </w:pPr>
    </w:p>
    <w:p>
      <w:pPr>
        <w:ind w:firstLine="437"/>
        <w:rPr>
          <w:rFonts w:hint="default" w:ascii="Times New Roman" w:hAnsi="Times New Roman" w:eastAsia="宋体" w:cs="Times New Roman"/>
          <w:color w:val="auto"/>
          <w:sz w:val="24"/>
        </w:rPr>
      </w:pPr>
    </w:p>
    <w:p>
      <w:pPr>
        <w:ind w:firstLine="437"/>
        <w:rPr>
          <w:rFonts w:hint="default" w:ascii="Times New Roman" w:hAnsi="Times New Roman" w:eastAsia="宋体" w:cs="Times New Roman"/>
          <w:color w:val="auto"/>
          <w:sz w:val="24"/>
        </w:rPr>
      </w:pPr>
    </w:p>
    <w:p>
      <w:pPr>
        <w:keepNext w:val="0"/>
        <w:keepLines w:val="0"/>
        <w:pageBreakBefore w:val="0"/>
        <w:widowControl w:val="0"/>
        <w:tabs>
          <w:tab w:val="left" w:pos="312"/>
        </w:tabs>
        <w:kinsoku/>
        <w:wordWrap/>
        <w:overflowPunct/>
        <w:topLinePunct w:val="0"/>
        <w:bidi w:val="0"/>
        <w:adjustRightInd/>
        <w:snapToGrid/>
        <w:spacing w:line="480" w:lineRule="exact"/>
        <w:textAlignment w:val="auto"/>
        <w:outlineLvl w:val="1"/>
        <w:rPr>
          <w:rFonts w:hint="default" w:ascii="Times New Roman" w:hAnsi="Times New Roman" w:eastAsia="宋体" w:cs="Times New Roman"/>
          <w:b/>
          <w:bCs/>
          <w:color w:val="auto"/>
          <w:sz w:val="24"/>
          <w:szCs w:val="24"/>
        </w:rPr>
      </w:pPr>
      <w:bookmarkStart w:id="46" w:name="_Toc25240"/>
      <w:r>
        <w:rPr>
          <w:rFonts w:hint="default" w:ascii="Times New Roman" w:hAnsi="Times New Roman" w:eastAsia="宋体" w:cs="Times New Roman"/>
          <w:b/>
          <w:bCs/>
          <w:color w:val="auto"/>
          <w:sz w:val="24"/>
          <w:szCs w:val="24"/>
        </w:rPr>
        <w:t>3.1 地表水环境功能区划</w:t>
      </w:r>
      <w:bookmarkEnd w:id="46"/>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根据山西省生态环境厅 山西省市场监督管理局发布的《山西省地方标准 山西省地表水环境功能区划》（DB14/67-2019），本项目所在地表水环境功能区为下茹越水库至笔峰区间为工业用水保护区，水质目标为《地表水环境质量标准》(GB3838-2002)Ⅲ类水体（图3-2），本项目执行《地表水环境质量标准》(GB3838-2002)Ⅲ类。</w:t>
      </w:r>
    </w:p>
    <w:p>
      <w:pPr>
        <w:keepNext w:val="0"/>
        <w:keepLines w:val="0"/>
        <w:pageBreakBefore w:val="0"/>
        <w:widowControl w:val="0"/>
        <w:tabs>
          <w:tab w:val="left" w:pos="312"/>
        </w:tabs>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47" w:name="_Toc24575"/>
      <w:r>
        <w:rPr>
          <w:rFonts w:hint="default" w:ascii="Times New Roman" w:hAnsi="Times New Roman" w:eastAsia="宋体" w:cs="Times New Roman"/>
          <w:b/>
          <w:bCs/>
          <w:color w:val="auto"/>
          <w:sz w:val="24"/>
        </w:rPr>
        <w:t>3.2 评价等级及范围</w:t>
      </w:r>
      <w:bookmarkEnd w:id="4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rPr>
        <w:t>外排废水纳污水体为滹沱河，设计废水排放量3000m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/d。根据《环境影响评价技术导则 地表水》（HJ 2.3-2018）（表3-1）确定该项目地表水环境影响评价等级为二级。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本项目选取排水口出水口上游500m至下游1500m水域为评价范围，评价河长2km。</w:t>
      </w:r>
    </w:p>
    <w:p>
      <w:pPr>
        <w:autoSpaceDE w:val="0"/>
        <w:autoSpaceDN w:val="0"/>
        <w:jc w:val="center"/>
        <w:rPr>
          <w:rFonts w:hint="default" w:ascii="Times New Roman" w:hAnsi="Times New Roman" w:eastAsia="宋体" w:cs="Times New Roman"/>
          <w:b/>
          <w:bCs/>
          <w:color w:val="auto"/>
          <w:sz w:val="24"/>
        </w:rPr>
      </w:pP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表3-1</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水污染影响型建设项目等级判定表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571"/>
        <w:gridCol w:w="61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7730"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6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排放方式</w:t>
            </w:r>
          </w:p>
        </w:tc>
        <w:tc>
          <w:tcPr>
            <w:tcW w:w="61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废水排放量Q/（m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/d）；水污染物当量数W/（量纲一）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56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直接排放</w:t>
            </w:r>
          </w:p>
        </w:tc>
        <w:tc>
          <w:tcPr>
            <w:tcW w:w="61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Q≥20000或W≥600 000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56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直接排放</w:t>
            </w:r>
          </w:p>
        </w:tc>
        <w:tc>
          <w:tcPr>
            <w:tcW w:w="61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三级A</w:t>
            </w:r>
          </w:p>
        </w:tc>
        <w:tc>
          <w:tcPr>
            <w:tcW w:w="156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直接排放</w:t>
            </w:r>
          </w:p>
        </w:tc>
        <w:tc>
          <w:tcPr>
            <w:tcW w:w="61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三级B</w:t>
            </w:r>
          </w:p>
        </w:tc>
        <w:tc>
          <w:tcPr>
            <w:tcW w:w="156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间接排放</w:t>
            </w:r>
          </w:p>
        </w:tc>
        <w:tc>
          <w:tcPr>
            <w:tcW w:w="616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widowControl w:val="0"/>
        <w:tabs>
          <w:tab w:val="left" w:pos="312"/>
        </w:tabs>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48" w:name="_Toc11893"/>
      <w:r>
        <w:rPr>
          <w:rFonts w:hint="default" w:ascii="Times New Roman" w:hAnsi="Times New Roman" w:eastAsia="宋体" w:cs="Times New Roman"/>
          <w:b/>
          <w:bCs/>
          <w:color w:val="auto"/>
          <w:sz w:val="24"/>
        </w:rPr>
        <w:t>3.3 环境保护目标</w:t>
      </w:r>
      <w:bookmarkEnd w:id="48"/>
    </w:p>
    <w:p>
      <w:pPr>
        <w:keepNext w:val="0"/>
        <w:keepLines w:val="0"/>
        <w:pageBreakBefore w:val="0"/>
        <w:widowControl w:val="0"/>
        <w:tabs>
          <w:tab w:val="left" w:pos="312"/>
        </w:tabs>
        <w:kinsoku/>
        <w:wordWrap/>
        <w:overflowPunct/>
        <w:topLinePunct w:val="0"/>
        <w:autoSpaceDE/>
        <w:autoSpaceDN/>
        <w:bidi w:val="0"/>
        <w:adjustRightInd/>
        <w:snapToGrid/>
        <w:spacing w:line="480" w:lineRule="exact"/>
        <w:ind w:firstLine="566" w:firstLineChars="236"/>
        <w:textAlignment w:val="auto"/>
        <w:outlineLvl w:val="1"/>
        <w:rPr>
          <w:rFonts w:hint="default" w:ascii="Times New Roman" w:hAnsi="Times New Roman" w:eastAsia="宋体" w:cs="Times New Roman"/>
          <w:color w:val="auto"/>
          <w:sz w:val="24"/>
        </w:rPr>
      </w:pPr>
      <w:bookmarkStart w:id="49" w:name="_Toc15941"/>
      <w:r>
        <w:rPr>
          <w:rFonts w:hint="default" w:ascii="Times New Roman" w:hAnsi="Times New Roman" w:eastAsia="宋体" w:cs="Times New Roman"/>
          <w:color w:val="auto"/>
          <w:sz w:val="24"/>
        </w:rPr>
        <w:t>该建设项目评价范围内无饮用水水源保护区、饮用水取水口、涉水的自然保护区、涉水的风景名胜区、重要湿地、重点保护与珍稀水生生物的栖息地、重要水生生物的自然产卵场及索饵场、越冬场和洄游通道、天然渔场等渔业水体、水产种质资源保护区等敏感因子。</w:t>
      </w:r>
      <w:bookmarkEnd w:id="49"/>
    </w:p>
    <w:p>
      <w:pPr>
        <w:keepNext w:val="0"/>
        <w:keepLines w:val="0"/>
        <w:pageBreakBefore w:val="0"/>
        <w:widowControl w:val="0"/>
        <w:tabs>
          <w:tab w:val="left" w:pos="312"/>
        </w:tabs>
        <w:kinsoku/>
        <w:wordWrap/>
        <w:overflowPunct/>
        <w:topLinePunct w:val="0"/>
        <w:autoSpaceDE/>
        <w:autoSpaceDN/>
        <w:bidi w:val="0"/>
        <w:adjustRightInd/>
        <w:snapToGrid/>
        <w:spacing w:line="480" w:lineRule="exact"/>
        <w:ind w:firstLine="566" w:firstLineChars="236"/>
        <w:textAlignment w:val="auto"/>
        <w:outlineLvl w:val="1"/>
        <w:rPr>
          <w:rFonts w:hint="default" w:ascii="Times New Roman" w:hAnsi="Times New Roman" w:eastAsia="宋体" w:cs="Times New Roman"/>
          <w:color w:val="auto"/>
          <w:sz w:val="24"/>
        </w:rPr>
      </w:pPr>
      <w:bookmarkStart w:id="50" w:name="_Toc28592"/>
      <w:r>
        <w:rPr>
          <w:rFonts w:hint="default" w:ascii="Times New Roman" w:hAnsi="Times New Roman" w:eastAsia="宋体" w:cs="Times New Roman"/>
          <w:color w:val="auto"/>
          <w:sz w:val="24"/>
        </w:rPr>
        <w:t>滹沱河位于该建设项目南部</w:t>
      </w:r>
      <w:r>
        <w:rPr>
          <w:rFonts w:hint="default" w:ascii="Times New Roman" w:hAnsi="Times New Roman" w:eastAsia="宋体" w:cs="Times New Roman"/>
          <w:color w:val="auto"/>
          <w:sz w:val="24"/>
          <w:lang w:val="en-US" w:eastAsia="zh-CN"/>
        </w:rPr>
        <w:t>100m处</w:t>
      </w:r>
      <w:r>
        <w:rPr>
          <w:rFonts w:hint="default" w:ascii="Times New Roman" w:hAnsi="Times New Roman" w:eastAsia="宋体" w:cs="Times New Roman"/>
          <w:color w:val="auto"/>
          <w:sz w:val="24"/>
        </w:rPr>
        <w:t>，是本项目外排废水纳污水体，本项目所在地表水环境功能区为下茹越水库至笔峰区间为工业用水保护区，水质目标为《地表水环境质量标准》(GB3838-2002)Ⅲ类水体（图3-2），本项目执行《地表水环境质量标准》(GB3838-2002)Ⅲ类。</w:t>
      </w:r>
      <w:bookmarkEnd w:id="50"/>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 xml:space="preserve">3-2 </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环境保护目标</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208"/>
        <w:gridCol w:w="755"/>
        <w:gridCol w:w="1363"/>
        <w:gridCol w:w="2097"/>
        <w:gridCol w:w="26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2" w:type="dxa"/>
            <w:vMerge w:val="restart"/>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3450" w:type="dxa"/>
            <w:gridSpan w:val="3"/>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w:t>
            </w:r>
          </w:p>
        </w:tc>
        <w:tc>
          <w:tcPr>
            <w:tcW w:w="2175" w:type="dxa"/>
            <w:vMerge w:val="restart"/>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敏感因素</w:t>
            </w:r>
          </w:p>
        </w:tc>
        <w:tc>
          <w:tcPr>
            <w:tcW w:w="2705" w:type="dxa"/>
            <w:vMerge w:val="restart"/>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2" w:type="dxa"/>
            <w:vMerge w:val="continue"/>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p>
        </w:tc>
        <w:tc>
          <w:tcPr>
            <w:tcW w:w="125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78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w:t>
            </w:r>
          </w:p>
        </w:tc>
        <w:tc>
          <w:tcPr>
            <w:tcW w:w="1414"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距离（m）</w:t>
            </w:r>
          </w:p>
        </w:tc>
        <w:tc>
          <w:tcPr>
            <w:tcW w:w="2175" w:type="dxa"/>
            <w:vMerge w:val="continue"/>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p>
        </w:tc>
        <w:tc>
          <w:tcPr>
            <w:tcW w:w="2705" w:type="dxa"/>
            <w:vMerge w:val="continue"/>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2"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125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rPr>
              <w:t>滹沱河</w:t>
            </w:r>
          </w:p>
        </w:tc>
        <w:tc>
          <w:tcPr>
            <w:tcW w:w="78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414"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2175"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rPr>
              <w:t>工业用水保护区</w:t>
            </w:r>
          </w:p>
        </w:tc>
        <w:tc>
          <w:tcPr>
            <w:tcW w:w="2705"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《地表水环境质量标准》(GB3838-2002)Ⅲ类水体</w:t>
            </w:r>
          </w:p>
        </w:tc>
      </w:tr>
    </w:tbl>
    <w:p>
      <w:pPr>
        <w:keepNext w:val="0"/>
        <w:keepLines w:val="0"/>
        <w:pageBreakBefore w:val="0"/>
        <w:widowControl w:val="0"/>
        <w:tabs>
          <w:tab w:val="left" w:pos="312"/>
        </w:tabs>
        <w:kinsoku/>
        <w:wordWrap/>
        <w:overflowPunct/>
        <w:topLinePunct w:val="0"/>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51" w:name="_Toc399"/>
      <w:r>
        <w:rPr>
          <w:rFonts w:hint="default" w:ascii="Times New Roman" w:hAnsi="Times New Roman" w:eastAsia="宋体" w:cs="Times New Roman"/>
          <w:b/>
          <w:bCs/>
          <w:color w:val="auto"/>
          <w:sz w:val="24"/>
        </w:rPr>
        <w:t>3.4 影响因素识别、评价时段及评价因子的筛选</w:t>
      </w:r>
      <w:bookmarkEnd w:id="51"/>
    </w:p>
    <w:p>
      <w:pPr>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3.4.1 影响因素及评价时段分析</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施工期废水主要来源为施工废水和生活污水及</w:t>
      </w:r>
      <w:r>
        <w:rPr>
          <w:rFonts w:hint="default" w:ascii="Times New Roman" w:hAnsi="Times New Roman" w:eastAsia="宋体" w:cs="Times New Roman"/>
          <w:snapToGrid w:val="0"/>
          <w:color w:val="auto"/>
          <w:sz w:val="24"/>
        </w:rPr>
        <w:t>闭水试验废水</w:t>
      </w:r>
      <w:r>
        <w:rPr>
          <w:rFonts w:hint="default" w:ascii="Times New Roman" w:hAnsi="Times New Roman" w:eastAsia="宋体" w:cs="Times New Roman"/>
          <w:color w:val="auto"/>
          <w:sz w:val="24"/>
        </w:rPr>
        <w:t>，本项目为新建项目，施工期废水建临时沉淀池，污水经收集后进入沉淀池后回用于场地洒水降尘，不外排；</w:t>
      </w:r>
      <w:r>
        <w:rPr>
          <w:rFonts w:hint="default" w:ascii="Times New Roman" w:hAnsi="Times New Roman" w:eastAsia="宋体" w:cs="Times New Roman"/>
          <w:snapToGrid w:val="0"/>
          <w:color w:val="auto"/>
          <w:sz w:val="24"/>
        </w:rPr>
        <w:t>生活污水利用附近瑞迪航空</w:t>
      </w:r>
      <w:r>
        <w:rPr>
          <w:rFonts w:hint="default" w:ascii="Times New Roman" w:hAnsi="Times New Roman" w:eastAsia="宋体" w:cs="Times New Roman"/>
          <w:snapToGrid w:val="0"/>
          <w:color w:val="auto"/>
          <w:sz w:val="24"/>
          <w:lang w:eastAsia="zh-CN"/>
        </w:rPr>
        <w:t>迪</w:t>
      </w:r>
      <w:r>
        <w:rPr>
          <w:rFonts w:hint="default" w:ascii="Times New Roman" w:hAnsi="Times New Roman" w:eastAsia="宋体" w:cs="Times New Roman"/>
          <w:snapToGrid w:val="0"/>
          <w:color w:val="auto"/>
          <w:sz w:val="24"/>
        </w:rPr>
        <w:t>旱厕收集，不外排。</w:t>
      </w:r>
      <w:r>
        <w:rPr>
          <w:rFonts w:hint="default" w:ascii="Times New Roman" w:hAnsi="Times New Roman" w:eastAsia="宋体" w:cs="Times New Roman"/>
          <w:color w:val="auto"/>
          <w:sz w:val="24"/>
        </w:rPr>
        <w:t>只要加强管理，不会对周围环境产生影响。因此本次评价主要进行运营期地表水环境影响评价。</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运营期废污水主要污染物有BOD、COD、NH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-N、TP、TN、SS等</w:t>
      </w:r>
    </w:p>
    <w:p>
      <w:pPr>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3.4.2 环境评价因子确定</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现状评价因子：pH、CODcr、BOD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、SS、氨氮、色度、总磷、总氮、砷、汞、六价铬、悬浮物、总铬、铅、LAS、粪大肠菌群、镉、烷基汞、水温、流速、流量；</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预测因子：BOD、CODcr、NH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-N、TP、TN、SS。</w:t>
      </w:r>
    </w:p>
    <w:p>
      <w:pPr>
        <w:keepNext w:val="0"/>
        <w:keepLines w:val="0"/>
        <w:pageBreakBefore w:val="0"/>
        <w:widowControl w:val="0"/>
        <w:tabs>
          <w:tab w:val="left" w:pos="312"/>
        </w:tabs>
        <w:kinsoku/>
        <w:wordWrap/>
        <w:overflowPunct/>
        <w:topLinePunct w:val="0"/>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52" w:name="_Toc16255"/>
      <w:r>
        <w:rPr>
          <w:rFonts w:hint="default" w:ascii="Times New Roman" w:hAnsi="Times New Roman" w:eastAsia="宋体" w:cs="Times New Roman"/>
          <w:b/>
          <w:bCs/>
          <w:color w:val="auto"/>
          <w:sz w:val="24"/>
        </w:rPr>
        <w:t>3.5地表水环境现状调查与监测</w:t>
      </w:r>
      <w:bookmarkEnd w:id="52"/>
    </w:p>
    <w:p>
      <w:pPr>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3.5.1 地表水环境监测</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本次枯水期监测共布设3个监测断面，分别位于本项目排水口上游500m处、下游500m和下游1500m处（</w:t>
      </w:r>
      <w:r>
        <w:rPr>
          <w:rFonts w:hint="eastAsia" w:cs="Times New Roman"/>
          <w:b/>
          <w:bCs/>
          <w:color w:val="auto"/>
          <w:sz w:val="24"/>
          <w:lang w:eastAsia="zh-CN"/>
        </w:rPr>
        <w:t>略</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监测频率：各监测断面连续监测3天，每天一次。</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监测时间：2020年4月20日-22日。</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监测项目：pH、CODcr、BOD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、氨氮、色度、总磷、总氮、砷、汞、六价铬、悬浮物、总铬、铅、LAS、粪大肠菌群、镉、烷基汞、水温、流速、流量等。</w:t>
      </w:r>
    </w:p>
    <w:p>
      <w:pPr>
        <w:keepNext w:val="0"/>
        <w:keepLines w:val="0"/>
        <w:pageBreakBefore w:val="0"/>
        <w:widowControl w:val="0"/>
        <w:kinsoku/>
        <w:wordWrap/>
        <w:overflowPunct/>
        <w:topLinePunct w:val="0"/>
        <w:autoSpaceDE w:val="0"/>
        <w:autoSpaceDN w:val="0"/>
        <w:bidi w:val="0"/>
        <w:adjustRightInd/>
        <w:snapToGrid/>
        <w:spacing w:line="480" w:lineRule="exact"/>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枯水期地表水现状监测结果</w:t>
      </w:r>
      <w:r>
        <w:rPr>
          <w:rFonts w:hint="eastAsia" w:cs="Times New Roman"/>
          <w:b/>
          <w:bCs/>
          <w:color w:val="auto"/>
          <w:sz w:val="24"/>
          <w:lang w:eastAsia="zh-CN"/>
        </w:rPr>
        <w:t>略</w:t>
      </w:r>
      <w:r>
        <w:rPr>
          <w:rFonts w:hint="default" w:ascii="Times New Roman" w:hAnsi="Times New Roman" w:eastAsia="宋体" w:cs="Times New Roman"/>
          <w:b/>
          <w:bCs/>
          <w:color w:val="auto"/>
          <w:sz w:val="24"/>
        </w:rPr>
        <w:t>。</w:t>
      </w: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autoSpaceDE w:val="0"/>
        <w:autoSpaceDN w:val="0"/>
        <w:jc w:val="center"/>
        <w:rPr>
          <w:rFonts w:hint="default" w:ascii="Times New Roman" w:hAnsi="Times New Roman" w:eastAsia="宋体"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3.5.3 水质监测方法</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 xml:space="preserve">表3-4 </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水质分析方法表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72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分析方法依据</w:t>
            </w:r>
          </w:p>
          <w:p>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（标准名称及编号）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温度计法GB/T 13195-1991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玻璃电极法 GB/T 6920-1986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稀释倍数法GB/T 11903-1989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电化学探头法 HJ 506-2009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高锰酸钾指数</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高锰酸钾滴定法 GB/T 11892-1989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重铬酸盐法 HJ 828-2017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稀释与接种法 HJ 505-2009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 氮</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纳氏试剂分光光度法 HJ 535-2009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钼酸铵分光光度法 GB/T 11893-1989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碱性过硫酸钾消解紫外分光光度法 HJ 636-2012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原子吸收分光光度法 GB/T 7475-1987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原子吸收分光光度法 GB/T 7475-1987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离子选择电极法 GB/T 7484-1987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硒</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原子荧光法  HJ 694-2014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原子荧光法 HJ 694-2014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原子荧光法 HJ 694-2014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原子吸收分光光谱法GB/T 7475-1987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二苯碳酰二肼分光光度法GB/T 7467-1987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无火焰原子吸收分光光度法GB/T 5750.6-2006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异烟酸-吡唑啉酮分光光度法HJ 484-2009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挥发酚的测定 4-氨基安替比林分光光度法HJ 503-2009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紫外分光光度法（试行） HJ 970-2018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LAS</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亚甲蓝分光光度法GB/T 7494-1987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亚甲基蓝分光光度法 GB/T 16489-1996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多管发酵法 HJ/T 347.2-2018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火焰原子吸收分光光度法GB/T 11911-1989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84"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7200" w:type="dxa"/>
            <w:tcBorders>
              <w:tl2br w:val="nil"/>
              <w:tr2bl w:val="nil"/>
            </w:tcBorders>
            <w:tcMar>
              <w:left w:w="57" w:type="dxa"/>
              <w:right w:w="57"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火焰原子吸收分光光度法GB/T 11911-1989</w:t>
            </w:r>
          </w:p>
        </w:tc>
      </w:tr>
    </w:tbl>
    <w:p>
      <w:pPr>
        <w:keepNext w:val="0"/>
        <w:keepLines w:val="0"/>
        <w:pageBreakBefore w:val="0"/>
        <w:widowControl w:val="0"/>
        <w:tabs>
          <w:tab w:val="left" w:pos="312"/>
        </w:tabs>
        <w:kinsoku/>
        <w:wordWrap/>
        <w:overflowPunct/>
        <w:topLinePunct w:val="0"/>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53" w:name="_Toc14644"/>
      <w:r>
        <w:rPr>
          <w:rFonts w:hint="default" w:ascii="Times New Roman" w:hAnsi="Times New Roman" w:eastAsia="宋体" w:cs="Times New Roman"/>
          <w:b/>
          <w:bCs/>
          <w:color w:val="auto"/>
          <w:sz w:val="24"/>
        </w:rPr>
        <w:t>3.6地表水环境质量现状评价</w:t>
      </w:r>
      <w:bookmarkEnd w:id="53"/>
    </w:p>
    <w:p>
      <w:pPr>
        <w:keepNext w:val="0"/>
        <w:keepLines w:val="0"/>
        <w:pageBreakBefore w:val="0"/>
        <w:widowControl w:val="0"/>
        <w:kinsoku/>
        <w:wordWrap/>
        <w:overflowPunct/>
        <w:topLinePunct w:val="0"/>
        <w:autoSpaceDE w:val="0"/>
        <w:autoSpaceDN w:val="0"/>
        <w:bidi w:val="0"/>
        <w:adjustRightInd/>
        <w:snapToGrid/>
        <w:spacing w:line="480" w:lineRule="exact"/>
        <w:textAlignment w:val="auto"/>
        <w:outlineLvl w:val="2"/>
        <w:rPr>
          <w:rFonts w:hint="default" w:ascii="Times New Roman" w:hAnsi="Times New Roman" w:eastAsia="宋体" w:cs="Times New Roman"/>
          <w:b/>
          <w:bCs/>
          <w:color w:val="auto"/>
          <w:sz w:val="24"/>
        </w:rPr>
      </w:pPr>
      <w:bookmarkStart w:id="54" w:name="_Toc18162"/>
      <w:r>
        <w:rPr>
          <w:rFonts w:hint="default" w:ascii="Times New Roman" w:hAnsi="Times New Roman" w:eastAsia="宋体" w:cs="Times New Roman"/>
          <w:b/>
          <w:bCs/>
          <w:color w:val="auto"/>
          <w:sz w:val="24"/>
        </w:rPr>
        <w:t>3.6.1 评价标准</w:t>
      </w:r>
      <w:bookmarkEnd w:id="54"/>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根据环境功能区划，本次地表水环境现状评价标准采用《地表水环境质量标准》(GB3838-2002)Ⅲ类标准（表3-5）。</w:t>
      </w:r>
    </w:p>
    <w:p>
      <w:pPr>
        <w:jc w:val="center"/>
        <w:rPr>
          <w:rFonts w:hint="default" w:ascii="Times New Roman" w:hAnsi="Times New Roman" w:eastAsia="宋体" w:cs="Times New Roman"/>
          <w:b/>
          <w:bCs/>
          <w:color w:val="auto"/>
          <w:sz w:val="24"/>
        </w:rPr>
      </w:pPr>
    </w:p>
    <w:p>
      <w:pPr>
        <w:pStyle w:val="2"/>
        <w:rPr>
          <w:rFonts w:hint="default" w:ascii="Times New Roman" w:hAnsi="Times New Roman" w:eastAsia="宋体" w:cs="Times New Roman"/>
          <w:b/>
          <w:bCs/>
          <w:color w:val="auto"/>
          <w:sz w:val="24"/>
        </w:rPr>
      </w:pPr>
    </w:p>
    <w:p>
      <w:pPr>
        <w:rPr>
          <w:rFonts w:hint="default" w:ascii="Times New Roman" w:hAnsi="Times New Roman" w:eastAsia="宋体" w:cs="Times New Roman"/>
        </w:rPr>
      </w:pP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 xml:space="preserve">表3-5 </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 xml:space="preserve"> 地表水环境质量评价标准    单位：mg/L</w:t>
      </w:r>
    </w:p>
    <w:tbl>
      <w:tblPr>
        <w:tblStyle w:val="7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3"/>
        <w:gridCol w:w="4980"/>
        <w:gridCol w:w="35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评价指标</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4 \* ROMAN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IV</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化学需氧量(COD)≤</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 xml:space="preserve">5 </w:t>
            </w:r>
            <w:r>
              <w:rPr>
                <w:rFonts w:hint="default" w:ascii="Times New Roman" w:hAnsi="Times New Roman" w:eastAsia="宋体" w:cs="Times New Roman"/>
                <w:color w:val="auto"/>
                <w:sz w:val="21"/>
                <w:szCs w:val="21"/>
              </w:rPr>
              <w:t xml:space="preserve">)≤ </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氮氮(NH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总磷(以P计)≤</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粪大肠菌群（个/L）≤</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2"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98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3561" w:type="dxa"/>
            <w:tcBorders>
              <w:tl2br w:val="nil"/>
              <w:tr2bl w:val="nil"/>
            </w:tcBorders>
            <w:shd w:val="clear" w:color="auto" w:fill="auto"/>
            <w:noWrap/>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bl>
    <w:p>
      <w:pPr>
        <w:keepNext w:val="0"/>
        <w:keepLines w:val="0"/>
        <w:pageBreakBefore w:val="0"/>
        <w:widowControl w:val="0"/>
        <w:kinsoku/>
        <w:wordWrap/>
        <w:overflowPunct/>
        <w:topLinePunct w:val="0"/>
        <w:autoSpaceDE w:val="0"/>
        <w:autoSpaceDN w:val="0"/>
        <w:bidi w:val="0"/>
        <w:adjustRightInd/>
        <w:snapToGrid/>
        <w:spacing w:line="480" w:lineRule="exact"/>
        <w:textAlignment w:val="auto"/>
        <w:outlineLvl w:val="2"/>
        <w:rPr>
          <w:rFonts w:hint="default" w:ascii="Times New Roman" w:hAnsi="Times New Roman" w:eastAsia="宋体" w:cs="Times New Roman"/>
          <w:b/>
          <w:bCs/>
          <w:color w:val="auto"/>
          <w:sz w:val="24"/>
          <w:szCs w:val="24"/>
        </w:rPr>
      </w:pPr>
      <w:bookmarkStart w:id="55" w:name="_Toc11476"/>
      <w:r>
        <w:rPr>
          <w:rFonts w:hint="default" w:ascii="Times New Roman" w:hAnsi="Times New Roman" w:eastAsia="宋体" w:cs="Times New Roman"/>
          <w:b/>
          <w:bCs/>
          <w:color w:val="auto"/>
          <w:sz w:val="24"/>
          <w:szCs w:val="24"/>
        </w:rPr>
        <w:t>3.6.2 评价方法</w:t>
      </w:r>
      <w:bookmarkEnd w:id="55"/>
    </w:p>
    <w:p>
      <w:pPr>
        <w:keepNext w:val="0"/>
        <w:keepLines w:val="0"/>
        <w:pageBreakBefore w:val="0"/>
        <w:widowControl w:val="0"/>
        <w:kinsoku/>
        <w:wordWrap/>
        <w:overflowPunct/>
        <w:topLinePunct w:val="0"/>
        <w:autoSpaceDE w:val="0"/>
        <w:autoSpaceDN w:val="0"/>
        <w:bidi w:val="0"/>
        <w:adjustRightInd/>
        <w:snapToGrid/>
        <w:spacing w:line="480" w:lineRule="exact"/>
        <w:textAlignment w:val="auto"/>
        <w:outlineLvl w:val="2"/>
        <w:rPr>
          <w:rFonts w:hint="default" w:ascii="Times New Roman" w:hAnsi="Times New Roman" w:eastAsia="宋体" w:cs="Times New Roman"/>
          <w:bCs/>
          <w:color w:val="auto"/>
          <w:sz w:val="24"/>
          <w:szCs w:val="24"/>
        </w:rPr>
      </w:pPr>
      <w:bookmarkStart w:id="56" w:name="_Toc3787"/>
      <w:r>
        <w:rPr>
          <w:rFonts w:hint="default" w:ascii="Times New Roman" w:hAnsi="Times New Roman" w:eastAsia="宋体" w:cs="Times New Roman"/>
          <w:bCs/>
          <w:color w:val="auto"/>
          <w:sz w:val="24"/>
          <w:szCs w:val="24"/>
        </w:rPr>
        <w:t>（1）评价方法</w:t>
      </w:r>
      <w:bookmarkEnd w:id="56"/>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采用标准指数法进行评价，其计算公式如下：</w:t>
      </w:r>
    </w:p>
    <w:p>
      <w:pPr>
        <w:keepNext w:val="0"/>
        <w:keepLines w:val="0"/>
        <w:pageBreakBefore w:val="0"/>
        <w:widowControl w:val="0"/>
        <w:kinsoku/>
        <w:wordWrap/>
        <w:overflowPunct/>
        <w:topLinePunct w:val="0"/>
        <w:bidi w:val="0"/>
        <w:adjustRightInd/>
        <w:snapToGrid/>
        <w:spacing w:line="480" w:lineRule="exact"/>
        <w:ind w:firstLine="1680" w:firstLineChars="7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lang w:val="en-US" w:eastAsia="zh-CN"/>
        </w:rPr>
        <w:t>i,j</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C</w:t>
      </w:r>
      <w:r>
        <w:rPr>
          <w:rFonts w:hint="default" w:ascii="Times New Roman" w:hAnsi="Times New Roman" w:eastAsia="宋体" w:cs="Times New Roman"/>
          <w:i/>
          <w:color w:val="auto"/>
          <w:sz w:val="24"/>
          <w:szCs w:val="24"/>
          <w:vertAlign w:val="subscript"/>
          <w:lang w:val="en-US" w:eastAsia="zh-CN"/>
        </w:rPr>
        <w:t xml:space="preserve">i,j </w:t>
      </w:r>
      <w:r>
        <w:rPr>
          <w:rFonts w:hint="default" w:ascii="Times New Roman" w:hAnsi="Times New Roman" w:eastAsia="宋体" w:cs="Times New Roman"/>
          <w:i/>
          <w:color w:val="auto"/>
          <w:sz w:val="24"/>
          <w:szCs w:val="24"/>
          <w:vertAlign w:val="baseline"/>
          <w:lang w:val="en-US" w:eastAsia="zh-CN"/>
        </w:rPr>
        <w:t>/ C</w:t>
      </w:r>
      <w:r>
        <w:rPr>
          <w:rFonts w:hint="default" w:ascii="Times New Roman" w:hAnsi="Times New Roman" w:eastAsia="宋体" w:cs="Times New Roman"/>
          <w:i/>
          <w:color w:val="auto"/>
          <w:sz w:val="24"/>
          <w:szCs w:val="24"/>
          <w:vertAlign w:val="subscript"/>
          <w:lang w:val="en-US" w:eastAsia="zh-CN"/>
        </w:rPr>
        <w:t>si</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lang w:val="en-US" w:eastAsia="zh-CN"/>
        </w:rPr>
        <w:t>i,j</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评级因子</w:t>
      </w:r>
      <w:r>
        <w:rPr>
          <w:rFonts w:hint="default" w:ascii="Times New Roman" w:hAnsi="Times New Roman" w:eastAsia="宋体" w:cs="Times New Roman"/>
          <w:color w:val="auto"/>
          <w:sz w:val="24"/>
          <w:szCs w:val="24"/>
          <w:lang w:val="en-US" w:eastAsia="zh-CN"/>
        </w:rPr>
        <w:t>i在j点的水质指数，大于1表明该水质因子超标</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C</w:t>
      </w:r>
      <w:r>
        <w:rPr>
          <w:rFonts w:hint="default" w:ascii="Times New Roman" w:hAnsi="Times New Roman" w:eastAsia="宋体" w:cs="Times New Roman"/>
          <w:i/>
          <w:color w:val="auto"/>
          <w:sz w:val="24"/>
          <w:szCs w:val="24"/>
          <w:vertAlign w:val="subscript"/>
          <w:lang w:val="en-US" w:eastAsia="zh-CN"/>
        </w:rPr>
        <w:t>i,j</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评级因子</w:t>
      </w:r>
      <w:r>
        <w:rPr>
          <w:rFonts w:hint="default" w:ascii="Times New Roman" w:hAnsi="Times New Roman" w:eastAsia="宋体" w:cs="Times New Roman"/>
          <w:color w:val="auto"/>
          <w:sz w:val="24"/>
          <w:szCs w:val="24"/>
          <w:lang w:val="en-US" w:eastAsia="zh-CN"/>
        </w:rPr>
        <w:t>i在j点的实测统计代表值</w:t>
      </w:r>
      <w:r>
        <w:rPr>
          <w:rFonts w:hint="default" w:ascii="Times New Roman" w:hAnsi="Times New Roman" w:eastAsia="宋体" w:cs="Times New Roman"/>
          <w:color w:val="auto"/>
          <w:sz w:val="24"/>
          <w:szCs w:val="24"/>
        </w:rPr>
        <w:t>，mg/L；</w:t>
      </w:r>
    </w:p>
    <w:p>
      <w:pPr>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vertAlign w:val="baseline"/>
          <w:lang w:val="en-US" w:eastAsia="zh-CN"/>
        </w:rPr>
        <w:t>C</w:t>
      </w:r>
      <w:r>
        <w:rPr>
          <w:rFonts w:hint="default" w:ascii="Times New Roman" w:hAnsi="Times New Roman" w:eastAsia="宋体" w:cs="Times New Roman"/>
          <w:i/>
          <w:color w:val="auto"/>
          <w:sz w:val="24"/>
          <w:szCs w:val="24"/>
          <w:vertAlign w:val="subscript"/>
          <w:lang w:val="en-US" w:eastAsia="zh-CN"/>
        </w:rPr>
        <w:t>si</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评价因子</w:t>
      </w:r>
      <w:r>
        <w:rPr>
          <w:rFonts w:hint="default" w:ascii="Times New Roman" w:hAnsi="Times New Roman" w:eastAsia="宋体" w:cs="Times New Roman"/>
          <w:color w:val="auto"/>
          <w:sz w:val="24"/>
          <w:szCs w:val="24"/>
          <w:lang w:val="en-US" w:eastAsia="zh-CN"/>
        </w:rPr>
        <w:t>i的水质评价标准限值</w:t>
      </w:r>
      <w:r>
        <w:rPr>
          <w:rFonts w:hint="default" w:ascii="Times New Roman" w:hAnsi="Times New Roman" w:eastAsia="宋体" w:cs="Times New Roman"/>
          <w:color w:val="auto"/>
          <w:sz w:val="24"/>
          <w:szCs w:val="24"/>
        </w:rPr>
        <w:t>，mg/L。</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668480" behindDoc="1" locked="0" layoutInCell="1" allowOverlap="1">
            <wp:simplePos x="0" y="0"/>
            <wp:positionH relativeFrom="column">
              <wp:posOffset>789305</wp:posOffset>
            </wp:positionH>
            <wp:positionV relativeFrom="paragraph">
              <wp:posOffset>250825</wp:posOffset>
            </wp:positionV>
            <wp:extent cx="652145" cy="474980"/>
            <wp:effectExtent l="0" t="0" r="14605" b="1270"/>
            <wp:wrapNone/>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61"/>
                    <a:stretch>
                      <a:fillRect/>
                    </a:stretch>
                  </pic:blipFill>
                  <pic:spPr>
                    <a:xfrm>
                      <a:off x="0" y="0"/>
                      <a:ext cx="652145" cy="474980"/>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pH的标准指数为：</w:t>
      </w:r>
    </w:p>
    <w:p>
      <w:pPr>
        <w:keepNext w:val="0"/>
        <w:keepLines w:val="0"/>
        <w:pageBreakBefore w:val="0"/>
        <w:widowControl w:val="0"/>
        <w:kinsoku/>
        <w:wordWrap/>
        <w:overflowPunct/>
        <w:topLinePunct w:val="0"/>
        <w:bidi w:val="0"/>
        <w:adjustRightInd/>
        <w:snapToGrid/>
        <w:spacing w:line="480" w:lineRule="exact"/>
        <w:ind w:firstLine="720" w:firstLineChars="3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rPr>
        <w:t>PH</w:t>
      </w:r>
      <w:r>
        <w:rPr>
          <w:rFonts w:hint="default" w:ascii="Times New Roman" w:hAnsi="Times New Roman" w:eastAsia="宋体" w:cs="Times New Roman"/>
          <w:i/>
          <w:color w:val="auto"/>
          <w:sz w:val="24"/>
          <w:szCs w:val="24"/>
          <w:vertAlign w:val="subscript"/>
          <w:lang w:eastAsia="zh-CN"/>
        </w:rPr>
        <w:t>，</w:t>
      </w:r>
      <w:r>
        <w:rPr>
          <w:rFonts w:hint="default" w:ascii="Times New Roman" w:hAnsi="Times New Roman" w:eastAsia="宋体" w:cs="Times New Roman"/>
          <w:i/>
          <w:color w:val="auto"/>
          <w:sz w:val="24"/>
          <w:szCs w:val="24"/>
          <w:vertAlign w:val="subscript"/>
          <w:lang w:val="en-US" w:eastAsia="zh-CN"/>
        </w:rPr>
        <w:t>j</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QUOTE </w:instrTex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QUOTE </w:instrText>
      </w:r>
      <w:r>
        <w:rPr>
          <w:rFonts w:hint="default" w:ascii="Times New Roman" w:hAnsi="Times New Roman" w:eastAsia="宋体" w:cs="Times New Roman"/>
          <w:color w:val="auto"/>
          <w:position w:val="-14"/>
          <w:sz w:val="24"/>
          <w:szCs w:val="24"/>
        </w:rPr>
        <w:drawing>
          <wp:inline distT="0" distB="0" distL="114300" distR="114300">
            <wp:extent cx="491490" cy="259080"/>
            <wp:effectExtent l="0" t="0" r="3810" b="698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62">
                      <a:clrChange>
                        <a:clrFrom>
                          <a:srgbClr val="FFFFFF"/>
                        </a:clrFrom>
                        <a:clrTo>
                          <a:srgbClr val="FFFFFF">
                            <a:alpha val="0"/>
                          </a:srgbClr>
                        </a:clrTo>
                      </a:clrChange>
                    </a:blip>
                    <a:stretch>
                      <a:fillRect/>
                    </a:stretch>
                  </pic:blipFill>
                  <pic:spPr>
                    <a:xfrm>
                      <a:off x="0" y="0"/>
                      <a:ext cx="491490" cy="25908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position w:val="-14"/>
          <w:sz w:val="24"/>
          <w:szCs w:val="24"/>
        </w:rPr>
        <w:drawing>
          <wp:inline distT="0" distB="0" distL="114300" distR="114300">
            <wp:extent cx="491490" cy="259080"/>
            <wp:effectExtent l="0" t="0" r="3810" b="698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62">
                      <a:clrChange>
                        <a:clrFrom>
                          <a:srgbClr val="FFFFFF"/>
                        </a:clrFrom>
                        <a:clrTo>
                          <a:srgbClr val="FFFFFF">
                            <a:alpha val="0"/>
                          </a:srgbClr>
                        </a:clrTo>
                      </a:clrChange>
                    </a:blip>
                    <a:stretch>
                      <a:fillRect/>
                    </a:stretch>
                  </pic:blipFill>
                  <pic:spPr>
                    <a:xfrm>
                      <a:off x="0" y="0"/>
                      <a:ext cx="491490" cy="25908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PH≤7.0</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kinsoku/>
        <w:wordWrap/>
        <w:overflowPunct/>
        <w:topLinePunct w:val="0"/>
        <w:bidi w:val="0"/>
        <w:adjustRightInd/>
        <w:snapToGrid/>
        <w:spacing w:line="480" w:lineRule="exact"/>
        <w:ind w:firstLine="720" w:firstLineChars="300"/>
        <w:textAlignment w:val="auto"/>
        <w:rPr>
          <w:rFonts w:hint="default" w:ascii="Times New Roman" w:hAnsi="Times New Roman" w:eastAsia="宋体" w:cs="Times New Roman"/>
          <w:i/>
          <w:color w:val="auto"/>
          <w:sz w:val="24"/>
          <w:szCs w:val="24"/>
          <w:lang w:val="en-US"/>
        </w:rPr>
      </w:pPr>
      <w:r>
        <w:rPr>
          <w:rFonts w:hint="default" w:ascii="Times New Roman" w:hAnsi="Times New Roman" w:eastAsia="宋体" w:cs="Times New Roman"/>
          <w:color w:val="auto"/>
          <w:sz w:val="24"/>
          <w:szCs w:val="24"/>
        </w:rPr>
        <w:drawing>
          <wp:anchor distT="0" distB="0" distL="114300" distR="114300" simplePos="0" relativeHeight="251668480" behindDoc="1" locked="0" layoutInCell="1" allowOverlap="1">
            <wp:simplePos x="0" y="0"/>
            <wp:positionH relativeFrom="column">
              <wp:posOffset>789940</wp:posOffset>
            </wp:positionH>
            <wp:positionV relativeFrom="paragraph">
              <wp:posOffset>238125</wp:posOffset>
            </wp:positionV>
            <wp:extent cx="707390" cy="474345"/>
            <wp:effectExtent l="0" t="0" r="16510" b="190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3"/>
                    <a:stretch>
                      <a:fillRect/>
                    </a:stretch>
                  </pic:blipFill>
                  <pic:spPr>
                    <a:xfrm>
                      <a:off x="0" y="0"/>
                      <a:ext cx="707390" cy="474345"/>
                    </a:xfrm>
                    <a:prstGeom prst="rect">
                      <a:avLst/>
                    </a:prstGeom>
                    <a:noFill/>
                    <a:ln>
                      <a:noFill/>
                    </a:ln>
                  </pic:spPr>
                </pic:pic>
              </a:graphicData>
            </a:graphic>
          </wp:anchor>
        </w:drawing>
      </w:r>
      <w:r>
        <w:rPr>
          <w:rFonts w:hint="default" w:ascii="Times New Roman" w:hAnsi="Times New Roman" w:eastAsia="宋体" w:cs="Times New Roman"/>
          <w:i/>
          <w:color w:val="auto"/>
          <w:sz w:val="24"/>
          <w:szCs w:val="24"/>
          <w:lang w:val="en-US" w:eastAsia="zh-CN"/>
        </w:rPr>
        <w:t xml:space="preserve">                                                   </w:t>
      </w:r>
    </w:p>
    <w:p>
      <w:pPr>
        <w:keepNext w:val="0"/>
        <w:keepLines w:val="0"/>
        <w:pageBreakBefore w:val="0"/>
        <w:widowControl w:val="0"/>
        <w:kinsoku/>
        <w:wordWrap/>
        <w:overflowPunct/>
        <w:topLinePunct w:val="0"/>
        <w:bidi w:val="0"/>
        <w:adjustRightInd/>
        <w:snapToGrid/>
        <w:spacing w:line="480" w:lineRule="exact"/>
        <w:ind w:firstLine="720" w:firstLineChars="3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rPr>
        <w:t>PH</w:t>
      </w:r>
      <w:r>
        <w:rPr>
          <w:rFonts w:hint="default" w:ascii="Times New Roman" w:hAnsi="Times New Roman" w:eastAsia="宋体" w:cs="Times New Roman"/>
          <w:i/>
          <w:color w:val="auto"/>
          <w:sz w:val="24"/>
          <w:szCs w:val="24"/>
          <w:vertAlign w:val="subscript"/>
          <w:lang w:eastAsia="zh-CN"/>
        </w:rPr>
        <w:t>，</w:t>
      </w:r>
      <w:r>
        <w:rPr>
          <w:rFonts w:hint="default" w:ascii="Times New Roman" w:hAnsi="Times New Roman" w:eastAsia="宋体" w:cs="Times New Roman"/>
          <w:i/>
          <w:color w:val="auto"/>
          <w:sz w:val="24"/>
          <w:szCs w:val="24"/>
          <w:vertAlign w:val="subscript"/>
          <w:lang w:val="en-US" w:eastAsia="zh-CN"/>
        </w:rPr>
        <w:t>j</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QUOTE </w:instrTex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QUOTE </w:instrText>
      </w:r>
      <w:r>
        <w:rPr>
          <w:rFonts w:hint="default" w:ascii="Times New Roman" w:hAnsi="Times New Roman" w:eastAsia="宋体" w:cs="Times New Roman"/>
          <w:color w:val="auto"/>
          <w:position w:val="-17"/>
          <w:sz w:val="24"/>
          <w:szCs w:val="24"/>
        </w:rPr>
        <w:drawing>
          <wp:inline distT="0" distB="0" distL="114300" distR="114300">
            <wp:extent cx="491490" cy="259080"/>
            <wp:effectExtent l="0" t="0" r="3810" b="762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64">
                      <a:clrChange>
                        <a:clrFrom>
                          <a:srgbClr val="FFFFFF"/>
                        </a:clrFrom>
                        <a:clrTo>
                          <a:srgbClr val="FFFFFF">
                            <a:alpha val="0"/>
                          </a:srgbClr>
                        </a:clrTo>
                      </a:clrChange>
                    </a:blip>
                    <a:stretch>
                      <a:fillRect/>
                    </a:stretch>
                  </pic:blipFill>
                  <pic:spPr>
                    <a:xfrm>
                      <a:off x="0" y="0"/>
                      <a:ext cx="491490" cy="25908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position w:val="-17"/>
          <w:sz w:val="24"/>
          <w:szCs w:val="24"/>
        </w:rPr>
        <w:drawing>
          <wp:inline distT="0" distB="0" distL="114300" distR="114300">
            <wp:extent cx="491490" cy="259080"/>
            <wp:effectExtent l="0" t="0" r="3810" b="762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64">
                      <a:clrChange>
                        <a:clrFrom>
                          <a:srgbClr val="FFFFFF"/>
                        </a:clrFrom>
                        <a:clrTo>
                          <a:srgbClr val="FFFFFF">
                            <a:alpha val="0"/>
                          </a:srgbClr>
                        </a:clrTo>
                      </a:clrChange>
                    </a:blip>
                    <a:stretch>
                      <a:fillRect/>
                    </a:stretch>
                  </pic:blipFill>
                  <pic:spPr>
                    <a:xfrm>
                      <a:off x="0" y="0"/>
                      <a:ext cx="491490" cy="25908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PH&gt;7.0</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rPr>
        <w:t>PH</w:t>
      </w:r>
      <w:r>
        <w:rPr>
          <w:rFonts w:hint="default" w:ascii="Times New Roman" w:hAnsi="Times New Roman" w:eastAsia="宋体" w:cs="Times New Roman"/>
          <w:i/>
          <w:color w:val="auto"/>
          <w:sz w:val="24"/>
          <w:szCs w:val="24"/>
          <w:vertAlign w:val="subscript"/>
          <w:lang w:eastAsia="zh-CN"/>
        </w:rPr>
        <w:t>，</w:t>
      </w:r>
      <w:r>
        <w:rPr>
          <w:rFonts w:hint="default" w:ascii="Times New Roman" w:hAnsi="Times New Roman" w:eastAsia="宋体" w:cs="Times New Roman"/>
          <w:i/>
          <w:color w:val="auto"/>
          <w:sz w:val="24"/>
          <w:szCs w:val="24"/>
          <w:vertAlign w:val="subscript"/>
          <w:lang w:val="en-US" w:eastAsia="zh-CN"/>
        </w:rPr>
        <w:t>j</w:t>
      </w:r>
      <w:r>
        <w:rPr>
          <w:rFonts w:hint="default" w:ascii="Times New Roman" w:hAnsi="Times New Roman" w:eastAsia="宋体" w:cs="Times New Roman"/>
          <w:color w:val="auto"/>
          <w:sz w:val="24"/>
          <w:szCs w:val="24"/>
        </w:rPr>
        <w:t>—pH</w:t>
      </w:r>
      <w:r>
        <w:rPr>
          <w:rFonts w:hint="default" w:ascii="Times New Roman" w:hAnsi="Times New Roman" w:eastAsia="宋体" w:cs="Times New Roman"/>
          <w:color w:val="auto"/>
          <w:sz w:val="24"/>
          <w:szCs w:val="24"/>
          <w:lang w:eastAsia="zh-CN"/>
        </w:rPr>
        <w:t>值</w:t>
      </w:r>
      <w:r>
        <w:rPr>
          <w:rFonts w:hint="default" w:ascii="Times New Roman" w:hAnsi="Times New Roman" w:eastAsia="宋体" w:cs="Times New Roman"/>
          <w:color w:val="auto"/>
          <w:sz w:val="24"/>
          <w:szCs w:val="24"/>
        </w:rPr>
        <w:t>的指数</w:t>
      </w:r>
      <w:r>
        <w:rPr>
          <w:rFonts w:hint="default" w:ascii="Times New Roman" w:hAnsi="Times New Roman" w:eastAsia="宋体" w:cs="Times New Roman"/>
          <w:color w:val="auto"/>
          <w:sz w:val="24"/>
          <w:szCs w:val="24"/>
          <w:lang w:eastAsia="zh-CN"/>
        </w:rPr>
        <w:t>，大于</w:t>
      </w:r>
      <w:r>
        <w:rPr>
          <w:rFonts w:hint="default" w:ascii="Times New Roman" w:hAnsi="Times New Roman" w:eastAsia="宋体" w:cs="Times New Roman"/>
          <w:color w:val="auto"/>
          <w:sz w:val="24"/>
          <w:szCs w:val="24"/>
          <w:lang w:val="en-US" w:eastAsia="zh-CN"/>
        </w:rPr>
        <w:t>1表明该水质因子超标</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pH</w:t>
      </w:r>
      <w:r>
        <w:rPr>
          <w:rFonts w:hint="default" w:ascii="Times New Roman" w:hAnsi="Times New Roman" w:eastAsia="宋体" w:cs="Times New Roman"/>
          <w:i/>
          <w:color w:val="auto"/>
          <w:sz w:val="24"/>
          <w:szCs w:val="24"/>
          <w:vertAlign w:val="subscript"/>
          <w:lang w:val="en-US" w:eastAsia="zh-CN"/>
        </w:rPr>
        <w:t>j</w:t>
      </w:r>
      <w:r>
        <w:rPr>
          <w:rFonts w:hint="default" w:ascii="Times New Roman" w:hAnsi="Times New Roman" w:eastAsia="宋体" w:cs="Times New Roman"/>
          <w:color w:val="auto"/>
          <w:sz w:val="24"/>
          <w:szCs w:val="24"/>
        </w:rPr>
        <w:t>—pH</w:t>
      </w:r>
      <w:r>
        <w:rPr>
          <w:rFonts w:hint="default" w:ascii="Times New Roman" w:hAnsi="Times New Roman" w:eastAsia="宋体" w:cs="Times New Roman"/>
          <w:color w:val="auto"/>
          <w:sz w:val="24"/>
          <w:szCs w:val="24"/>
          <w:lang w:eastAsia="zh-CN"/>
        </w:rPr>
        <w:t>值实际统计代表值</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pH</w:t>
      </w:r>
      <w:r>
        <w:rPr>
          <w:rFonts w:hint="default" w:ascii="Times New Roman" w:hAnsi="Times New Roman" w:eastAsia="宋体" w:cs="Times New Roman"/>
          <w:i/>
          <w:color w:val="auto"/>
          <w:sz w:val="24"/>
          <w:szCs w:val="24"/>
          <w:vertAlign w:val="subscript"/>
        </w:rPr>
        <w:t>sd</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评价</w:t>
      </w:r>
      <w:r>
        <w:rPr>
          <w:rFonts w:hint="default" w:ascii="Times New Roman" w:hAnsi="Times New Roman" w:eastAsia="宋体" w:cs="Times New Roman"/>
          <w:color w:val="auto"/>
          <w:sz w:val="24"/>
          <w:szCs w:val="24"/>
        </w:rPr>
        <w:t>标准中pH的下限值；</w:t>
      </w:r>
    </w:p>
    <w:p>
      <w:pPr>
        <w:keepNext w:val="0"/>
        <w:keepLines w:val="0"/>
        <w:pageBreakBefore w:val="0"/>
        <w:widowControl w:val="0"/>
        <w:kinsoku/>
        <w:wordWrap/>
        <w:overflowPunct/>
        <w:topLinePunct w:val="0"/>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pH</w:t>
      </w:r>
      <w:r>
        <w:rPr>
          <w:rFonts w:hint="default" w:ascii="Times New Roman" w:hAnsi="Times New Roman" w:eastAsia="宋体" w:cs="Times New Roman"/>
          <w:i/>
          <w:color w:val="auto"/>
          <w:sz w:val="24"/>
          <w:szCs w:val="24"/>
          <w:vertAlign w:val="subscript"/>
        </w:rPr>
        <w:t>su</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评价</w:t>
      </w:r>
      <w:r>
        <w:rPr>
          <w:rFonts w:hint="default" w:ascii="Times New Roman" w:hAnsi="Times New Roman" w:eastAsia="宋体" w:cs="Times New Roman"/>
          <w:color w:val="auto"/>
          <w:sz w:val="24"/>
          <w:szCs w:val="24"/>
        </w:rPr>
        <w:t>标准中pH的上限值。</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当</w:t>
      </w: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rPr>
        <w:t>PH</w:t>
      </w:r>
      <w:r>
        <w:rPr>
          <w:rFonts w:hint="default" w:ascii="Times New Roman" w:hAnsi="Times New Roman" w:eastAsia="宋体" w:cs="Times New Roman"/>
          <w:i/>
          <w:color w:val="auto"/>
          <w:sz w:val="24"/>
          <w:szCs w:val="24"/>
          <w:vertAlign w:val="subscript"/>
          <w:lang w:eastAsia="zh-CN"/>
        </w:rPr>
        <w:t>，</w:t>
      </w:r>
      <w:r>
        <w:rPr>
          <w:rFonts w:hint="default" w:ascii="Times New Roman" w:hAnsi="Times New Roman" w:eastAsia="宋体" w:cs="Times New Roman"/>
          <w:i/>
          <w:color w:val="auto"/>
          <w:sz w:val="24"/>
          <w:szCs w:val="24"/>
          <w:vertAlign w:val="subscript"/>
          <w:lang w:val="en-US" w:eastAsia="zh-CN"/>
        </w:rPr>
        <w:t>j</w:t>
      </w:r>
      <w:r>
        <w:rPr>
          <w:rFonts w:hint="default" w:ascii="Times New Roman" w:hAnsi="Times New Roman" w:eastAsia="宋体" w:cs="Times New Roman"/>
          <w:color w:val="auto"/>
          <w:sz w:val="24"/>
          <w:szCs w:val="24"/>
        </w:rPr>
        <w:t>≤1时，符合标准；当</w:t>
      </w:r>
      <w:r>
        <w:rPr>
          <w:rFonts w:hint="default" w:ascii="Times New Roman" w:hAnsi="Times New Roman" w:eastAsia="宋体" w:cs="Times New Roman"/>
          <w:i/>
          <w:color w:val="auto"/>
          <w:sz w:val="24"/>
          <w:szCs w:val="24"/>
          <w:lang w:val="en-US" w:eastAsia="zh-CN"/>
        </w:rPr>
        <w:t>S</w:t>
      </w:r>
      <w:r>
        <w:rPr>
          <w:rFonts w:hint="default" w:ascii="Times New Roman" w:hAnsi="Times New Roman" w:eastAsia="宋体" w:cs="Times New Roman"/>
          <w:i/>
          <w:color w:val="auto"/>
          <w:sz w:val="24"/>
          <w:szCs w:val="24"/>
          <w:vertAlign w:val="subscript"/>
        </w:rPr>
        <w:t>PH</w:t>
      </w:r>
      <w:r>
        <w:rPr>
          <w:rFonts w:hint="default" w:ascii="Times New Roman" w:hAnsi="Times New Roman" w:eastAsia="宋体" w:cs="Times New Roman"/>
          <w:i/>
          <w:color w:val="auto"/>
          <w:sz w:val="24"/>
          <w:szCs w:val="24"/>
          <w:vertAlign w:val="subscript"/>
          <w:lang w:eastAsia="zh-CN"/>
        </w:rPr>
        <w:t>，</w:t>
      </w:r>
      <w:r>
        <w:rPr>
          <w:rFonts w:hint="default" w:ascii="Times New Roman" w:hAnsi="Times New Roman" w:eastAsia="宋体" w:cs="Times New Roman"/>
          <w:i/>
          <w:color w:val="auto"/>
          <w:sz w:val="24"/>
          <w:szCs w:val="24"/>
          <w:vertAlign w:val="subscript"/>
          <w:lang w:val="en-US" w:eastAsia="zh-CN"/>
        </w:rPr>
        <w:t>j</w:t>
      </w:r>
      <w:r>
        <w:rPr>
          <w:rFonts w:hint="default" w:ascii="Times New Roman" w:hAnsi="Times New Roman" w:eastAsia="宋体" w:cs="Times New Roman"/>
          <w:color w:val="auto"/>
          <w:sz w:val="24"/>
          <w:szCs w:val="24"/>
        </w:rPr>
        <w:t>&gt;1时，说明该水质因子已超过了规定的水质标准，将不满足该类地下水环境功能的要求。</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outlineLvl w:val="2"/>
        <w:rPr>
          <w:rFonts w:hint="default" w:ascii="Times New Roman" w:hAnsi="Times New Roman" w:eastAsia="宋体" w:cs="Times New Roman"/>
          <w:b/>
          <w:bCs/>
          <w:color w:val="auto"/>
          <w:sz w:val="24"/>
          <w:szCs w:val="24"/>
        </w:rPr>
      </w:pPr>
      <w:bookmarkStart w:id="57" w:name="_Toc11071"/>
      <w:r>
        <w:rPr>
          <w:rFonts w:hint="default" w:ascii="Times New Roman" w:hAnsi="Times New Roman" w:eastAsia="宋体" w:cs="Times New Roman"/>
          <w:b/>
          <w:bCs/>
          <w:color w:val="auto"/>
          <w:sz w:val="24"/>
          <w:szCs w:val="24"/>
        </w:rPr>
        <w:t>3.6.3 评价结果</w:t>
      </w:r>
      <w:bookmarkEnd w:id="57"/>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枯水期地表水环境质量评价结果（</w:t>
      </w:r>
      <w:r>
        <w:rPr>
          <w:rFonts w:hint="eastAsia" w:cs="Times New Roman"/>
          <w:b/>
          <w:bCs/>
          <w:color w:val="auto"/>
          <w:sz w:val="24"/>
          <w:szCs w:val="24"/>
          <w:lang w:eastAsia="zh-CN"/>
        </w:rPr>
        <w:t>略</w:t>
      </w:r>
      <w:r>
        <w:rPr>
          <w:rFonts w:hint="default" w:ascii="Times New Roman" w:hAnsi="Times New Roman" w:eastAsia="宋体" w:cs="Times New Roman"/>
          <w:color w:val="auto"/>
          <w:sz w:val="24"/>
          <w:szCs w:val="24"/>
        </w:rPr>
        <w:t>）表明：枯水期三个监测断面水质均满足《地表水环境质量标准》（GB3838-2002）Ⅲ类水标准，达到环境功能区指标。</w:t>
      </w:r>
    </w:p>
    <w:p>
      <w:pPr>
        <w:jc w:val="center"/>
        <w:rPr>
          <w:rFonts w:hint="default" w:ascii="Times New Roman" w:hAnsi="Times New Roman" w:eastAsia="宋体" w:cs="Times New Roman"/>
          <w:b/>
          <w:bCs/>
          <w:color w:val="auto"/>
          <w:sz w:val="24"/>
          <w:szCs w:val="32"/>
        </w:rPr>
        <w:sectPr>
          <w:footerReference r:id="rId20"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tabs>
          <w:tab w:val="left" w:pos="312"/>
        </w:tabs>
        <w:kinsoku/>
        <w:wordWrap/>
        <w:overflowPunct/>
        <w:topLinePunct w:val="0"/>
        <w:autoSpaceDE/>
        <w:autoSpaceDN/>
        <w:bidi w:val="0"/>
        <w:spacing w:line="480" w:lineRule="exact"/>
        <w:textAlignment w:val="auto"/>
        <w:outlineLvl w:val="1"/>
        <w:rPr>
          <w:rFonts w:hint="default" w:ascii="Times New Roman" w:hAnsi="Times New Roman" w:eastAsia="宋体" w:cs="Times New Roman"/>
          <w:b/>
          <w:bCs/>
          <w:color w:val="auto"/>
          <w:sz w:val="24"/>
        </w:rPr>
      </w:pPr>
      <w:bookmarkStart w:id="58" w:name="_Toc22350"/>
      <w:r>
        <w:rPr>
          <w:rFonts w:hint="default" w:ascii="Times New Roman" w:hAnsi="Times New Roman" w:eastAsia="宋体" w:cs="Times New Roman"/>
          <w:b/>
          <w:bCs/>
          <w:color w:val="auto"/>
          <w:sz w:val="24"/>
        </w:rPr>
        <w:t>3.7地表水环境影响预测</w:t>
      </w:r>
      <w:bookmarkEnd w:id="58"/>
    </w:p>
    <w:p>
      <w:pPr>
        <w:keepNext w:val="0"/>
        <w:keepLines w:val="0"/>
        <w:pageBreakBefore w:val="0"/>
        <w:kinsoku/>
        <w:wordWrap/>
        <w:overflowPunct/>
        <w:topLinePunct w:val="0"/>
        <w:autoSpaceDE/>
        <w:autoSpaceDN/>
        <w:bidi w:val="0"/>
        <w:spacing w:line="480" w:lineRule="exact"/>
        <w:textAlignment w:val="auto"/>
        <w:outlineLvl w:val="2"/>
        <w:rPr>
          <w:rFonts w:hint="default" w:ascii="Times New Roman" w:hAnsi="Times New Roman" w:eastAsia="宋体" w:cs="Times New Roman"/>
          <w:color w:val="auto"/>
          <w:sz w:val="24"/>
        </w:rPr>
      </w:pPr>
      <w:bookmarkStart w:id="59" w:name="_Toc13715"/>
      <w:r>
        <w:rPr>
          <w:rFonts w:hint="default" w:ascii="Times New Roman" w:hAnsi="Times New Roman" w:eastAsia="宋体" w:cs="Times New Roman"/>
          <w:b/>
          <w:bCs/>
          <w:color w:val="auto"/>
          <w:sz w:val="24"/>
        </w:rPr>
        <w:t>3.7.1 预测内容</w:t>
      </w:r>
      <w:bookmarkEnd w:id="59"/>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根据本项目设计水处理工艺，确定污水的排放量及其主要污染物的排放浓度，利用水质模型预测建设项目运行期废水在枯水期排放后滹沱河水质的影响状况。</w:t>
      </w:r>
    </w:p>
    <w:p>
      <w:pPr>
        <w:keepNext w:val="0"/>
        <w:keepLines w:val="0"/>
        <w:pageBreakBefore w:val="0"/>
        <w:kinsoku/>
        <w:wordWrap/>
        <w:overflowPunct/>
        <w:topLinePunct w:val="0"/>
        <w:autoSpaceDE/>
        <w:autoSpaceDN/>
        <w:bidi w:val="0"/>
        <w:spacing w:line="480" w:lineRule="exact"/>
        <w:textAlignment w:val="auto"/>
        <w:outlineLvl w:val="2"/>
        <w:rPr>
          <w:rFonts w:hint="default" w:ascii="Times New Roman" w:hAnsi="Times New Roman" w:eastAsia="宋体" w:cs="Times New Roman"/>
          <w:color w:val="auto"/>
          <w:sz w:val="24"/>
        </w:rPr>
      </w:pPr>
      <w:bookmarkStart w:id="60" w:name="_Toc32605"/>
      <w:r>
        <w:rPr>
          <w:rFonts w:hint="default" w:ascii="Times New Roman" w:hAnsi="Times New Roman" w:eastAsia="宋体" w:cs="Times New Roman"/>
          <w:b/>
          <w:bCs/>
          <w:color w:val="auto"/>
          <w:sz w:val="24"/>
        </w:rPr>
        <w:t>3.7.2 预测范围、时段及预测因子</w:t>
      </w:r>
      <w:bookmarkEnd w:id="60"/>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本项目选取本项目入河排污口上游500m至下游1500m滹沱河河水域为预测范围，进行枯水期水质影响预测。</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根据《山西省地方标准 山西省地表水环境功能区划》（DB14/67-2019）</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《山西省地方标准污水综合排放标准》（DB14/1928-2019）及《城镇污水处理厂污染物排放标准》（GB18918-2002），</w:t>
      </w:r>
      <w:r>
        <w:rPr>
          <w:rFonts w:hint="default" w:ascii="Times New Roman" w:hAnsi="Times New Roman" w:eastAsia="宋体" w:cs="Times New Roman"/>
          <w:color w:val="auto"/>
          <w:sz w:val="24"/>
        </w:rPr>
        <w:t>确定本项目的设计出水水质中 CODcr 、BOD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 、TP、TN、SS六项指标限值。因此选择 CODcr 、BOD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 、TP、TN、SS 为预测因子。</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施工期废水主要来源为施工废水和生活污水及闭水试验废水，本项目为新建项目，施工期废水建临时沉淀池，污水经收集后进入沉淀池后回用于场地洒水降尘，不外排；</w:t>
      </w:r>
      <w:r>
        <w:rPr>
          <w:rFonts w:hint="default" w:ascii="Times New Roman" w:hAnsi="Times New Roman" w:eastAsia="宋体" w:cs="Times New Roman"/>
          <w:snapToGrid w:val="0"/>
          <w:color w:val="auto"/>
          <w:sz w:val="24"/>
        </w:rPr>
        <w:t>生活污水利用附近瑞迪航空</w:t>
      </w:r>
      <w:r>
        <w:rPr>
          <w:rFonts w:hint="default" w:ascii="Times New Roman" w:hAnsi="Times New Roman" w:eastAsia="宋体" w:cs="Times New Roman"/>
          <w:snapToGrid w:val="0"/>
          <w:color w:val="auto"/>
          <w:sz w:val="24"/>
          <w:lang w:eastAsia="zh-CN"/>
        </w:rPr>
        <w:t>迪</w:t>
      </w:r>
      <w:r>
        <w:rPr>
          <w:rFonts w:hint="default" w:ascii="Times New Roman" w:hAnsi="Times New Roman" w:eastAsia="宋体" w:cs="Times New Roman"/>
          <w:snapToGrid w:val="0"/>
          <w:color w:val="auto"/>
          <w:sz w:val="24"/>
        </w:rPr>
        <w:t>旱厕收集，不外排</w:t>
      </w:r>
      <w:r>
        <w:rPr>
          <w:rFonts w:hint="default" w:ascii="Times New Roman" w:hAnsi="Times New Roman" w:eastAsia="宋体" w:cs="Times New Roman"/>
          <w:color w:val="auto"/>
          <w:sz w:val="24"/>
        </w:rPr>
        <w:t>，不会对周围环境产生影响。因此本次评价主要进行运营期正常排放的地表水环境影响预测。</w:t>
      </w:r>
    </w:p>
    <w:p>
      <w:pPr>
        <w:keepNext w:val="0"/>
        <w:keepLines w:val="0"/>
        <w:pageBreakBefore w:val="0"/>
        <w:kinsoku/>
        <w:wordWrap/>
        <w:overflowPunct/>
        <w:topLinePunct w:val="0"/>
        <w:autoSpaceDE/>
        <w:autoSpaceDN/>
        <w:bidi w:val="0"/>
        <w:spacing w:line="480" w:lineRule="exact"/>
        <w:textAlignment w:val="auto"/>
        <w:outlineLvl w:val="2"/>
        <w:rPr>
          <w:rFonts w:hint="default" w:ascii="Times New Roman" w:hAnsi="Times New Roman" w:eastAsia="宋体" w:cs="Times New Roman"/>
          <w:b/>
          <w:bCs/>
          <w:color w:val="auto"/>
          <w:sz w:val="24"/>
          <w:lang w:val="en-US" w:eastAsia="zh-CN"/>
        </w:rPr>
      </w:pPr>
      <w:bookmarkStart w:id="61" w:name="_Toc4193"/>
      <w:r>
        <w:rPr>
          <w:rFonts w:hint="default" w:ascii="Times New Roman" w:hAnsi="Times New Roman" w:eastAsia="宋体" w:cs="Times New Roman"/>
          <w:b/>
          <w:bCs/>
          <w:color w:val="auto"/>
          <w:sz w:val="24"/>
          <w:lang w:val="en-US" w:eastAsia="zh-CN"/>
        </w:rPr>
        <w:t>3.7.3建设项目废水污染物排放信息表</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2"/>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废水类别、污染物及治理设施信息表见表3-7。</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eastAsia="zh-CN"/>
        </w:rPr>
        <w:t>表</w:t>
      </w:r>
      <w:r>
        <w:rPr>
          <w:rFonts w:hint="default" w:ascii="Times New Roman" w:hAnsi="Times New Roman" w:eastAsia="宋体" w:cs="Times New Roman"/>
          <w:b/>
          <w:bCs/>
          <w:color w:val="auto"/>
          <w:sz w:val="24"/>
          <w:szCs w:val="32"/>
          <w:lang w:val="en-US" w:eastAsia="zh-CN"/>
        </w:rPr>
        <w:t>3-7    废水类别、污染物及治理设施信息表</w:t>
      </w:r>
    </w:p>
    <w:tbl>
      <w:tblPr>
        <w:tblStyle w:val="7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2"/>
        <w:gridCol w:w="375"/>
        <w:gridCol w:w="1320"/>
        <w:gridCol w:w="1065"/>
        <w:gridCol w:w="435"/>
        <w:gridCol w:w="975"/>
        <w:gridCol w:w="825"/>
        <w:gridCol w:w="750"/>
        <w:gridCol w:w="645"/>
        <w:gridCol w:w="900"/>
        <w:gridCol w:w="16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序号</w:t>
            </w:r>
          </w:p>
        </w:tc>
        <w:tc>
          <w:tcPr>
            <w:tcW w:w="3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废水类别</w:t>
            </w:r>
          </w:p>
        </w:tc>
        <w:tc>
          <w:tcPr>
            <w:tcW w:w="13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污染物种类</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排放去向</w:t>
            </w:r>
          </w:p>
        </w:tc>
        <w:tc>
          <w:tcPr>
            <w:tcW w:w="4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排放规律</w:t>
            </w:r>
          </w:p>
        </w:tc>
        <w:tc>
          <w:tcPr>
            <w:tcW w:w="2550"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污染治理设施</w:t>
            </w:r>
          </w:p>
        </w:tc>
        <w:tc>
          <w:tcPr>
            <w:tcW w:w="64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排放口编号</w:t>
            </w:r>
          </w:p>
        </w:tc>
        <w:tc>
          <w:tcPr>
            <w:tcW w:w="9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排放口设置是否符合要求</w:t>
            </w:r>
          </w:p>
        </w:tc>
        <w:tc>
          <w:tcPr>
            <w:tcW w:w="16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3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13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4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9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污染治理设施编号</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污染治理设施名称</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污染治理设施工艺</w:t>
            </w:r>
          </w:p>
        </w:tc>
        <w:tc>
          <w:tcPr>
            <w:tcW w:w="6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9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c>
          <w:tcPr>
            <w:tcW w:w="16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3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生活污水</w:t>
            </w:r>
          </w:p>
        </w:tc>
        <w:tc>
          <w:tcPr>
            <w:tcW w:w="13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auto"/>
                <w:sz w:val="21"/>
                <w:szCs w:val="21"/>
              </w:rPr>
              <w:t>CODcr</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TP</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TN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直接进入江河、湖、库等水环境</w:t>
            </w:r>
          </w:p>
        </w:tc>
        <w:tc>
          <w:tcPr>
            <w:tcW w:w="4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直接排放</w:t>
            </w:r>
          </w:p>
        </w:tc>
        <w:tc>
          <w:tcPr>
            <w:tcW w:w="9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r>
              <w:rPr>
                <w:rStyle w:val="79"/>
                <w:rFonts w:hint="default" w:ascii="Times New Roman" w:hAnsi="Times New Roman" w:eastAsia="宋体" w:cs="Times New Roman"/>
                <w:color w:val="auto"/>
                <w:kern w:val="2"/>
                <w:sz w:val="21"/>
                <w:szCs w:val="21"/>
                <w:lang w:val="en-US" w:eastAsia="zh-CN" w:bidi="ar-SA"/>
              </w:rPr>
              <w:t>TW001</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生活污水应急处理站</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A</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rPr>
              <w:t>/O</w:t>
            </w:r>
            <w:r>
              <w:rPr>
                <w:rFonts w:hint="default" w:ascii="Times New Roman" w:hAnsi="Times New Roman" w:eastAsia="宋体" w:cs="Times New Roman"/>
                <w:b w:val="0"/>
                <w:bCs w:val="0"/>
                <w:color w:val="auto"/>
                <w:sz w:val="21"/>
                <w:szCs w:val="21"/>
                <w:vertAlign w:val="baseline"/>
                <w:lang w:val="en-US" w:eastAsia="zh-CN"/>
              </w:rPr>
              <w:t>+BRM</w:t>
            </w:r>
          </w:p>
        </w:tc>
        <w:tc>
          <w:tcPr>
            <w:tcW w:w="6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rPr>
            </w:pPr>
            <w:r>
              <w:rPr>
                <w:rStyle w:val="79"/>
                <w:rFonts w:hint="default" w:ascii="Times New Roman" w:hAnsi="Times New Roman" w:eastAsia="宋体" w:cs="Times New Roman"/>
                <w:color w:val="auto"/>
                <w:kern w:val="2"/>
                <w:sz w:val="21"/>
                <w:szCs w:val="21"/>
                <w:lang w:val="en-US" w:eastAsia="zh-CN" w:bidi="ar-SA"/>
              </w:rPr>
              <w:t>DW001</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sym w:font="Wingdings" w:char="00FE"/>
            </w:r>
            <w:r>
              <w:rPr>
                <w:rFonts w:hint="default" w:ascii="Times New Roman" w:hAnsi="Times New Roman" w:eastAsia="宋体" w:cs="Times New Roman"/>
                <w:color w:val="auto"/>
                <w:sz w:val="21"/>
                <w:szCs w:val="21"/>
                <w:lang w:eastAsia="zh-CN"/>
              </w:rPr>
              <w:t>是</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color w:val="auto"/>
                <w:sz w:val="21"/>
                <w:szCs w:val="21"/>
                <w:lang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sym w:font="Wingdings" w:char="00A8"/>
            </w:r>
            <w:r>
              <w:rPr>
                <w:rFonts w:hint="default" w:ascii="Times New Roman" w:hAnsi="Times New Roman" w:eastAsia="宋体" w:cs="Times New Roman"/>
                <w:color w:val="auto"/>
                <w:sz w:val="21"/>
                <w:szCs w:val="21"/>
                <w:lang w:eastAsia="zh-CN"/>
              </w:rPr>
              <w:t>否</w:t>
            </w:r>
          </w:p>
        </w:tc>
        <w:tc>
          <w:tcPr>
            <w:tcW w:w="16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sym w:font="Wingdings" w:char="00FE"/>
            </w:r>
            <w:r>
              <w:rPr>
                <w:rFonts w:hint="default" w:ascii="Times New Roman" w:hAnsi="Times New Roman" w:eastAsia="宋体" w:cs="Times New Roman"/>
                <w:b w:val="0"/>
                <w:bCs w:val="0"/>
                <w:color w:val="auto"/>
                <w:sz w:val="21"/>
                <w:szCs w:val="21"/>
                <w:vertAlign w:val="baseline"/>
                <w:lang w:eastAsia="zh-CN"/>
              </w:rPr>
              <w:t>企业总排</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sym w:font="Wingdings" w:char="00A8"/>
            </w:r>
            <w:r>
              <w:rPr>
                <w:rFonts w:hint="default" w:ascii="Times New Roman" w:hAnsi="Times New Roman" w:eastAsia="宋体" w:cs="Times New Roman"/>
                <w:b w:val="0"/>
                <w:bCs w:val="0"/>
                <w:color w:val="auto"/>
                <w:sz w:val="21"/>
                <w:szCs w:val="21"/>
                <w:vertAlign w:val="baseline"/>
                <w:lang w:eastAsia="zh-CN"/>
              </w:rPr>
              <w:t>雨水排放</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sym w:font="Wingdings" w:char="00A8"/>
            </w:r>
            <w:r>
              <w:rPr>
                <w:rFonts w:hint="default" w:ascii="Times New Roman" w:hAnsi="Times New Roman" w:eastAsia="宋体" w:cs="Times New Roman"/>
                <w:b w:val="0"/>
                <w:bCs w:val="0"/>
                <w:color w:val="auto"/>
                <w:sz w:val="21"/>
                <w:szCs w:val="21"/>
                <w:vertAlign w:val="baseline"/>
                <w:lang w:eastAsia="zh-CN"/>
              </w:rPr>
              <w:t>清净下水排放</w:t>
            </w:r>
            <w:r>
              <w:rPr>
                <w:rFonts w:hint="default" w:ascii="Times New Roman" w:hAnsi="Times New Roman" w:eastAsia="宋体" w:cs="Times New Roman"/>
                <w:b w:val="0"/>
                <w:bCs w:val="0"/>
                <w:color w:val="auto"/>
                <w:sz w:val="21"/>
                <w:szCs w:val="21"/>
                <w:vertAlign w:val="baseline"/>
                <w:lang w:eastAsia="zh-CN"/>
              </w:rPr>
              <w:sym w:font="Wingdings" w:char="00A8"/>
            </w:r>
            <w:r>
              <w:rPr>
                <w:rFonts w:hint="default" w:ascii="Times New Roman" w:hAnsi="Times New Roman" w:eastAsia="宋体" w:cs="Times New Roman"/>
                <w:b w:val="0"/>
                <w:bCs w:val="0"/>
                <w:color w:val="auto"/>
                <w:sz w:val="21"/>
                <w:szCs w:val="21"/>
                <w:vertAlign w:val="baseline"/>
                <w:lang w:eastAsia="zh-CN"/>
              </w:rPr>
              <w:t>温排水排放</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sym w:font="Wingdings" w:char="00A8"/>
            </w:r>
            <w:r>
              <w:rPr>
                <w:rFonts w:hint="default" w:ascii="Times New Roman" w:hAnsi="Times New Roman" w:eastAsia="宋体" w:cs="Times New Roman"/>
                <w:b w:val="0"/>
                <w:bCs w:val="0"/>
                <w:color w:val="auto"/>
                <w:sz w:val="21"/>
                <w:szCs w:val="21"/>
                <w:vertAlign w:val="baseline"/>
                <w:lang w:eastAsia="zh-CN"/>
              </w:rPr>
              <w:t>车间或车间处理设施排放口</w:t>
            </w:r>
          </w:p>
        </w:tc>
      </w:tr>
    </w:tbl>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2"/>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废水排放口基本情况表见表3-8。</w:t>
      </w:r>
    </w:p>
    <w:p>
      <w:pPr>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kinsoku/>
        <w:wordWrap/>
        <w:overflowPunct/>
        <w:topLinePunct w:val="0"/>
        <w:autoSpaceDE/>
        <w:autoSpaceDN/>
        <w:bidi w:val="0"/>
        <w:adjustRightInd w:val="0"/>
        <w:snapToGrid w:val="0"/>
        <w:spacing w:before="79" w:beforeLines="25" w:after="79" w:afterLines="25" w:line="240" w:lineRule="auto"/>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表</w:t>
      </w:r>
      <w:r>
        <w:rPr>
          <w:rFonts w:hint="default" w:ascii="Times New Roman" w:hAnsi="Times New Roman" w:eastAsia="宋体" w:cs="Times New Roman"/>
          <w:b/>
          <w:bCs/>
          <w:color w:val="auto"/>
          <w:sz w:val="24"/>
          <w:szCs w:val="32"/>
          <w:lang w:val="en-US" w:eastAsia="zh-CN"/>
        </w:rPr>
        <w:t xml:space="preserve">3-8  </w:t>
      </w:r>
      <w:r>
        <w:rPr>
          <w:rFonts w:hint="default" w:ascii="Times New Roman" w:hAnsi="Times New Roman" w:eastAsia="宋体" w:cs="Times New Roman"/>
          <w:b/>
          <w:bCs/>
          <w:color w:val="auto"/>
          <w:sz w:val="24"/>
          <w:szCs w:val="32"/>
          <w:lang w:eastAsia="zh-CN"/>
        </w:rPr>
        <w:t xml:space="preserve"> </w:t>
      </w:r>
      <w:r>
        <w:rPr>
          <w:rFonts w:hint="default" w:ascii="Times New Roman" w:hAnsi="Times New Roman" w:eastAsia="宋体" w:cs="Times New Roman"/>
          <w:b/>
          <w:bCs/>
          <w:color w:val="auto"/>
          <w:sz w:val="24"/>
          <w:szCs w:val="32"/>
          <w:lang w:val="en-US" w:eastAsia="zh-CN"/>
        </w:rPr>
        <w:t xml:space="preserve"> </w:t>
      </w:r>
      <w:r>
        <w:rPr>
          <w:rFonts w:hint="default" w:ascii="Times New Roman" w:hAnsi="Times New Roman" w:eastAsia="宋体" w:cs="Times New Roman"/>
          <w:b/>
          <w:bCs/>
          <w:color w:val="auto"/>
          <w:sz w:val="24"/>
          <w:szCs w:val="32"/>
          <w:lang w:eastAsia="zh-CN"/>
        </w:rPr>
        <w:t>废水直接排放口基本情况表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9"/>
        <w:gridCol w:w="473"/>
        <w:gridCol w:w="735"/>
        <w:gridCol w:w="645"/>
        <w:gridCol w:w="735"/>
        <w:gridCol w:w="1485"/>
        <w:gridCol w:w="571"/>
        <w:gridCol w:w="464"/>
        <w:gridCol w:w="765"/>
        <w:gridCol w:w="1170"/>
        <w:gridCol w:w="780"/>
        <w:gridCol w:w="705"/>
        <w:gridCol w:w="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9" w:type="dxa"/>
            <w:vMerge w:val="restart"/>
            <w:noWrap w:val="0"/>
            <w:vAlign w:val="center"/>
          </w:tcPr>
          <w:p>
            <w:pPr>
              <w:pStyle w:val="387"/>
              <w:adjustRightInd w:val="0"/>
              <w:snapToGrid w:val="0"/>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序号</w:t>
            </w:r>
          </w:p>
        </w:tc>
        <w:tc>
          <w:tcPr>
            <w:tcW w:w="473" w:type="dxa"/>
            <w:vMerge w:val="restart"/>
            <w:noWrap w:val="0"/>
            <w:vAlign w:val="center"/>
          </w:tcPr>
          <w:p>
            <w:pPr>
              <w:pStyle w:val="387"/>
              <w:adjustRightInd w:val="0"/>
              <w:snapToGrid w:val="0"/>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排放口编号</w:t>
            </w:r>
          </w:p>
        </w:tc>
        <w:tc>
          <w:tcPr>
            <w:tcW w:w="1380" w:type="dxa"/>
            <w:gridSpan w:val="2"/>
            <w:noWrap w:val="0"/>
            <w:tcMar>
              <w:top w:w="0" w:type="dxa"/>
              <w:left w:w="0" w:type="dxa"/>
              <w:bottom w:w="0" w:type="dxa"/>
              <w:right w:w="0" w:type="dxa"/>
            </w:tcMar>
            <w:vAlign w:val="center"/>
          </w:tcPr>
          <w:p>
            <w:pPr>
              <w:pStyle w:val="387"/>
              <w:adjustRightInd w:val="0"/>
              <w:snapToGrid w:val="0"/>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排放口地理坐标（1）</w:t>
            </w:r>
          </w:p>
        </w:tc>
        <w:tc>
          <w:tcPr>
            <w:tcW w:w="735" w:type="dxa"/>
            <w:vMerge w:val="restart"/>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lang w:eastAsia="zh-CN"/>
              </w:rPr>
            </w:pPr>
            <w:r>
              <w:rPr>
                <w:rStyle w:val="79"/>
                <w:rFonts w:hint="default" w:ascii="Times New Roman" w:hAnsi="Times New Roman" w:eastAsia="宋体" w:cs="Times New Roman"/>
                <w:color w:val="auto"/>
                <w:lang w:eastAsia="zh-CN"/>
              </w:rPr>
              <w:t>废水排放量（万</w:t>
            </w:r>
            <w:r>
              <w:rPr>
                <w:rStyle w:val="79"/>
                <w:rFonts w:hint="default" w:ascii="Times New Roman" w:hAnsi="Times New Roman" w:eastAsia="宋体" w:cs="Times New Roman"/>
                <w:color w:val="auto"/>
                <w:lang w:val="en-US" w:eastAsia="zh-CN"/>
              </w:rPr>
              <w:t>t/a</w:t>
            </w:r>
            <w:r>
              <w:rPr>
                <w:rStyle w:val="79"/>
                <w:rFonts w:hint="default" w:ascii="Times New Roman" w:hAnsi="Times New Roman" w:eastAsia="宋体" w:cs="Times New Roman"/>
                <w:color w:val="auto"/>
                <w:lang w:eastAsia="zh-CN"/>
              </w:rPr>
              <w:t>）</w:t>
            </w:r>
          </w:p>
        </w:tc>
        <w:tc>
          <w:tcPr>
            <w:tcW w:w="1485" w:type="dxa"/>
            <w:vMerge w:val="restart"/>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排放去向</w:t>
            </w:r>
          </w:p>
        </w:tc>
        <w:tc>
          <w:tcPr>
            <w:tcW w:w="571" w:type="dxa"/>
            <w:vMerge w:val="restart"/>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排放规律</w:t>
            </w:r>
          </w:p>
        </w:tc>
        <w:tc>
          <w:tcPr>
            <w:tcW w:w="464" w:type="dxa"/>
            <w:vMerge w:val="restart"/>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间歇排放时段</w:t>
            </w:r>
          </w:p>
        </w:tc>
        <w:tc>
          <w:tcPr>
            <w:tcW w:w="1935" w:type="dxa"/>
            <w:gridSpan w:val="2"/>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受纳自然水体信息</w:t>
            </w:r>
          </w:p>
        </w:tc>
        <w:tc>
          <w:tcPr>
            <w:tcW w:w="1485" w:type="dxa"/>
            <w:gridSpan w:val="2"/>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汇入受纳自然水体处地理坐标（4）</w:t>
            </w:r>
          </w:p>
        </w:tc>
        <w:tc>
          <w:tcPr>
            <w:tcW w:w="409" w:type="dxa"/>
            <w:vMerge w:val="restart"/>
            <w:noWrap w:val="0"/>
            <w:vAlign w:val="center"/>
          </w:tcPr>
          <w:p>
            <w:pPr>
              <w:pStyle w:val="387"/>
              <w:jc w:val="center"/>
              <w:rPr>
                <w:rStyle w:val="79"/>
                <w:rFonts w:hint="default" w:ascii="Times New Roman" w:hAnsi="Times New Roman" w:eastAsia="宋体" w:cs="Times New Roman"/>
                <w:color w:val="auto"/>
                <w:lang w:eastAsia="zh-CN"/>
              </w:rPr>
            </w:pPr>
            <w:r>
              <w:rPr>
                <w:rStyle w:val="79"/>
                <w:rFonts w:hint="default" w:ascii="Times New Roman" w:hAnsi="Times New Roman" w:eastAsia="宋体" w:cs="Times New Roman"/>
                <w:color w:val="auto"/>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9" w:type="dxa"/>
            <w:vMerge w:val="continue"/>
            <w:noWrap w:val="0"/>
            <w:vAlign w:val="center"/>
          </w:tcPr>
          <w:p>
            <w:pPr>
              <w:pStyle w:val="387"/>
              <w:adjustRightInd w:val="0"/>
              <w:snapToGrid w:val="0"/>
              <w:jc w:val="center"/>
              <w:rPr>
                <w:rStyle w:val="79"/>
                <w:rFonts w:hint="default" w:ascii="Times New Roman" w:hAnsi="Times New Roman" w:eastAsia="宋体" w:cs="Times New Roman"/>
                <w:color w:val="auto"/>
                <w:sz w:val="24"/>
              </w:rPr>
            </w:pPr>
          </w:p>
        </w:tc>
        <w:tc>
          <w:tcPr>
            <w:tcW w:w="473" w:type="dxa"/>
            <w:vMerge w:val="continue"/>
            <w:noWrap w:val="0"/>
            <w:vAlign w:val="center"/>
          </w:tcPr>
          <w:p>
            <w:pPr>
              <w:pStyle w:val="387"/>
              <w:adjustRightInd w:val="0"/>
              <w:snapToGrid w:val="0"/>
              <w:jc w:val="center"/>
              <w:rPr>
                <w:rStyle w:val="79"/>
                <w:rFonts w:hint="default" w:ascii="Times New Roman" w:hAnsi="Times New Roman" w:eastAsia="宋体" w:cs="Times New Roman"/>
                <w:color w:val="auto"/>
                <w:sz w:val="24"/>
              </w:rPr>
            </w:pPr>
          </w:p>
        </w:tc>
        <w:tc>
          <w:tcPr>
            <w:tcW w:w="735" w:type="dxa"/>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经度</w:t>
            </w:r>
          </w:p>
        </w:tc>
        <w:tc>
          <w:tcPr>
            <w:tcW w:w="645" w:type="dxa"/>
            <w:noWrap w:val="0"/>
            <w:vAlign w:val="center"/>
          </w:tcPr>
          <w:p>
            <w:pPr>
              <w:pStyle w:val="387"/>
              <w:adjustRightInd w:val="0"/>
              <w:snapToGrid w:val="0"/>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纬度</w:t>
            </w:r>
          </w:p>
        </w:tc>
        <w:tc>
          <w:tcPr>
            <w:tcW w:w="735" w:type="dxa"/>
            <w:vMerge w:val="continue"/>
            <w:noWrap w:val="0"/>
            <w:vAlign w:val="center"/>
          </w:tcPr>
          <w:p>
            <w:pPr>
              <w:pStyle w:val="387"/>
              <w:jc w:val="center"/>
              <w:rPr>
                <w:rStyle w:val="79"/>
                <w:rFonts w:hint="default" w:ascii="Times New Roman" w:hAnsi="Times New Roman" w:eastAsia="宋体" w:cs="Times New Roman"/>
                <w:color w:val="auto"/>
              </w:rPr>
            </w:pPr>
          </w:p>
        </w:tc>
        <w:tc>
          <w:tcPr>
            <w:tcW w:w="1485" w:type="dxa"/>
            <w:vMerge w:val="continue"/>
            <w:noWrap w:val="0"/>
            <w:vAlign w:val="center"/>
          </w:tcPr>
          <w:p>
            <w:pPr>
              <w:pStyle w:val="387"/>
              <w:jc w:val="center"/>
              <w:rPr>
                <w:rStyle w:val="79"/>
                <w:rFonts w:hint="default" w:ascii="Times New Roman" w:hAnsi="Times New Roman" w:eastAsia="宋体" w:cs="Times New Roman"/>
                <w:color w:val="auto"/>
              </w:rPr>
            </w:pPr>
          </w:p>
        </w:tc>
        <w:tc>
          <w:tcPr>
            <w:tcW w:w="571" w:type="dxa"/>
            <w:vMerge w:val="continue"/>
            <w:noWrap w:val="0"/>
            <w:vAlign w:val="center"/>
          </w:tcPr>
          <w:p>
            <w:pPr>
              <w:pStyle w:val="387"/>
              <w:jc w:val="center"/>
              <w:rPr>
                <w:rStyle w:val="79"/>
                <w:rFonts w:hint="default" w:ascii="Times New Roman" w:hAnsi="Times New Roman" w:eastAsia="宋体" w:cs="Times New Roman"/>
                <w:color w:val="auto"/>
              </w:rPr>
            </w:pPr>
          </w:p>
        </w:tc>
        <w:tc>
          <w:tcPr>
            <w:tcW w:w="464" w:type="dxa"/>
            <w:vMerge w:val="continue"/>
            <w:noWrap w:val="0"/>
            <w:vAlign w:val="center"/>
          </w:tcPr>
          <w:p>
            <w:pPr>
              <w:pStyle w:val="387"/>
              <w:jc w:val="center"/>
              <w:rPr>
                <w:rStyle w:val="79"/>
                <w:rFonts w:hint="default" w:ascii="Times New Roman" w:hAnsi="Times New Roman" w:eastAsia="宋体" w:cs="Times New Roman"/>
                <w:color w:val="auto"/>
              </w:rPr>
            </w:pPr>
          </w:p>
        </w:tc>
        <w:tc>
          <w:tcPr>
            <w:tcW w:w="765" w:type="dxa"/>
            <w:noWrap w:val="0"/>
            <w:vAlign w:val="center"/>
          </w:tcPr>
          <w:p>
            <w:pPr>
              <w:pStyle w:val="387"/>
              <w:jc w:val="center"/>
              <w:rPr>
                <w:rStyle w:val="79"/>
                <w:rFonts w:hint="default" w:ascii="Times New Roman" w:hAnsi="Times New Roman" w:eastAsia="宋体" w:cs="Times New Roman"/>
                <w:snapToGrid w:val="0"/>
                <w:color w:val="auto"/>
                <w:kern w:val="20"/>
              </w:rPr>
            </w:pPr>
            <w:r>
              <w:rPr>
                <w:rStyle w:val="79"/>
                <w:rFonts w:hint="default" w:ascii="Times New Roman" w:hAnsi="Times New Roman" w:eastAsia="宋体" w:cs="Times New Roman"/>
                <w:color w:val="auto"/>
              </w:rPr>
              <w:t>名称（2）</w:t>
            </w:r>
          </w:p>
        </w:tc>
        <w:tc>
          <w:tcPr>
            <w:tcW w:w="1170" w:type="dxa"/>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受纳水体功能目标（3）</w:t>
            </w:r>
          </w:p>
        </w:tc>
        <w:tc>
          <w:tcPr>
            <w:tcW w:w="780" w:type="dxa"/>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经度</w:t>
            </w:r>
          </w:p>
        </w:tc>
        <w:tc>
          <w:tcPr>
            <w:tcW w:w="705" w:type="dxa"/>
            <w:noWrap w:val="0"/>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纬度</w:t>
            </w:r>
          </w:p>
        </w:tc>
        <w:tc>
          <w:tcPr>
            <w:tcW w:w="409" w:type="dxa"/>
            <w:vMerge w:val="continue"/>
            <w:noWrap w:val="0"/>
            <w:vAlign w:val="center"/>
          </w:tcPr>
          <w:p>
            <w:pPr>
              <w:pStyle w:val="387"/>
              <w:jc w:val="center"/>
              <w:rPr>
                <w:rStyle w:val="79"/>
                <w:rFonts w:hint="default" w:ascii="Times New Roman" w:hAnsi="Times New Roman" w:eastAsia="宋体"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lang w:val="en-US" w:eastAsia="zh-CN"/>
              </w:rPr>
            </w:pPr>
            <w:bookmarkStart w:id="62" w:name="BIAO11ZJPFK"/>
            <w:bookmarkEnd w:id="62"/>
            <w:r>
              <w:rPr>
                <w:rStyle w:val="79"/>
                <w:rFonts w:hint="default" w:ascii="Times New Roman" w:hAnsi="Times New Roman" w:eastAsia="宋体" w:cs="Times New Roman"/>
                <w:color w:val="auto"/>
                <w:lang w:val="en-US" w:eastAsia="zh-CN"/>
              </w:rPr>
              <w:t>1</w:t>
            </w:r>
          </w:p>
        </w:tc>
        <w:tc>
          <w:tcPr>
            <w:tcW w:w="473"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kern w:val="2"/>
                <w:sz w:val="21"/>
                <w:szCs w:val="21"/>
                <w:lang w:val="en-US" w:eastAsia="zh-CN" w:bidi="ar-SA"/>
              </w:rPr>
              <w:t>DW001</w:t>
            </w:r>
          </w:p>
        </w:tc>
        <w:tc>
          <w:tcPr>
            <w:tcW w:w="735"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113°14'28.41"</w:t>
            </w:r>
          </w:p>
        </w:tc>
        <w:tc>
          <w:tcPr>
            <w:tcW w:w="645"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39°10'44.16"</w:t>
            </w:r>
          </w:p>
        </w:tc>
        <w:tc>
          <w:tcPr>
            <w:tcW w:w="735" w:type="dxa"/>
            <w:noWrap w:val="0"/>
            <w:tcMar>
              <w:top w:w="0" w:type="dxa"/>
              <w:left w:w="0" w:type="dxa"/>
              <w:bottom w:w="0" w:type="dxa"/>
              <w:right w:w="0" w:type="dxa"/>
            </w:tcMar>
            <w:vAlign w:val="center"/>
          </w:tcPr>
          <w:p>
            <w:pPr>
              <w:pStyle w:val="387"/>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109.5</w:t>
            </w:r>
          </w:p>
        </w:tc>
        <w:tc>
          <w:tcPr>
            <w:tcW w:w="1485"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lang w:eastAsia="zh-CN"/>
              </w:rPr>
            </w:pPr>
            <w:r>
              <w:rPr>
                <w:rFonts w:hint="default" w:ascii="Times New Roman" w:hAnsi="Times New Roman" w:eastAsia="宋体" w:cs="Times New Roman"/>
                <w:b w:val="0"/>
                <w:bCs w:val="0"/>
                <w:color w:val="auto"/>
                <w:sz w:val="21"/>
                <w:szCs w:val="21"/>
                <w:vertAlign w:val="baseline"/>
                <w:lang w:eastAsia="zh-CN"/>
              </w:rPr>
              <w:t>直接进入江河、湖、库等水环境</w:t>
            </w:r>
          </w:p>
        </w:tc>
        <w:tc>
          <w:tcPr>
            <w:tcW w:w="571"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lang w:eastAsia="zh-CN"/>
              </w:rPr>
            </w:pPr>
            <w:r>
              <w:rPr>
                <w:rStyle w:val="79"/>
                <w:rFonts w:hint="default" w:ascii="Times New Roman" w:hAnsi="Times New Roman" w:eastAsia="宋体" w:cs="Times New Roman"/>
                <w:color w:val="auto"/>
                <w:lang w:eastAsia="zh-CN"/>
              </w:rPr>
              <w:t>直接排放</w:t>
            </w:r>
          </w:p>
        </w:tc>
        <w:tc>
          <w:tcPr>
            <w:tcW w:w="464"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lang w:val="en-US" w:eastAsia="zh-CN"/>
              </w:rPr>
            </w:pPr>
            <w:r>
              <w:rPr>
                <w:rStyle w:val="79"/>
                <w:rFonts w:hint="default" w:ascii="Times New Roman" w:hAnsi="Times New Roman" w:eastAsia="宋体" w:cs="Times New Roman"/>
                <w:color w:val="auto"/>
                <w:lang w:val="en-US" w:eastAsia="zh-CN"/>
              </w:rPr>
              <w:t>/</w:t>
            </w:r>
          </w:p>
        </w:tc>
        <w:tc>
          <w:tcPr>
            <w:tcW w:w="765"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lang w:eastAsia="zh-CN"/>
              </w:rPr>
              <w:t>滹沱河</w:t>
            </w:r>
          </w:p>
        </w:tc>
        <w:tc>
          <w:tcPr>
            <w:tcW w:w="1170"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lang w:eastAsia="zh-CN"/>
              </w:rPr>
            </w:pPr>
            <w:r>
              <w:rPr>
                <w:rStyle w:val="79"/>
                <w:rFonts w:hint="default" w:ascii="Times New Roman" w:hAnsi="Times New Roman" w:eastAsia="宋体" w:cs="Times New Roman"/>
                <w:color w:val="auto"/>
              </w:rPr>
              <w:t>Ⅲ</w:t>
            </w:r>
            <w:r>
              <w:rPr>
                <w:rStyle w:val="79"/>
                <w:rFonts w:hint="default" w:ascii="Times New Roman" w:hAnsi="Times New Roman" w:eastAsia="宋体" w:cs="Times New Roman"/>
                <w:color w:val="auto"/>
                <w:lang w:eastAsia="zh-CN"/>
              </w:rPr>
              <w:t>类</w:t>
            </w:r>
          </w:p>
        </w:tc>
        <w:tc>
          <w:tcPr>
            <w:tcW w:w="780"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113°14'28.98"</w:t>
            </w:r>
          </w:p>
        </w:tc>
        <w:tc>
          <w:tcPr>
            <w:tcW w:w="705"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r>
              <w:rPr>
                <w:rStyle w:val="79"/>
                <w:rFonts w:hint="default" w:ascii="Times New Roman" w:hAnsi="Times New Roman" w:eastAsia="宋体" w:cs="Times New Roman"/>
                <w:color w:val="auto"/>
              </w:rPr>
              <w:t>39°10'43.40"</w:t>
            </w:r>
          </w:p>
        </w:tc>
        <w:tc>
          <w:tcPr>
            <w:tcW w:w="409" w:type="dxa"/>
            <w:noWrap w:val="0"/>
            <w:tcMar>
              <w:top w:w="0" w:type="dxa"/>
              <w:left w:w="0" w:type="dxa"/>
              <w:bottom w:w="0" w:type="dxa"/>
              <w:right w:w="0" w:type="dxa"/>
            </w:tcMar>
            <w:vAlign w:val="center"/>
          </w:tcPr>
          <w:p>
            <w:pPr>
              <w:pStyle w:val="387"/>
              <w:jc w:val="center"/>
              <w:rPr>
                <w:rStyle w:val="79"/>
                <w:rFonts w:hint="default" w:ascii="Times New Roman" w:hAnsi="Times New Roman" w:eastAsia="宋体" w:cs="Times New Roman"/>
                <w:color w:val="auto"/>
              </w:rPr>
            </w:pPr>
          </w:p>
        </w:tc>
      </w:tr>
    </w:tbl>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2"/>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废水污染物排放执行标准表见表3-9。</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表</w:t>
      </w:r>
      <w:r>
        <w:rPr>
          <w:rFonts w:hint="default" w:ascii="Times New Roman" w:hAnsi="Times New Roman" w:eastAsia="宋体" w:cs="Times New Roman"/>
          <w:b/>
          <w:bCs/>
          <w:color w:val="auto"/>
          <w:sz w:val="24"/>
          <w:szCs w:val="32"/>
          <w:lang w:val="en-US" w:eastAsia="zh-CN"/>
        </w:rPr>
        <w:t xml:space="preserve">3-9   </w:t>
      </w:r>
      <w:r>
        <w:rPr>
          <w:rFonts w:hint="default" w:ascii="Times New Roman" w:hAnsi="Times New Roman" w:eastAsia="宋体" w:cs="Times New Roman"/>
          <w:b/>
          <w:bCs/>
          <w:color w:val="auto"/>
          <w:sz w:val="24"/>
          <w:szCs w:val="32"/>
          <w:lang w:eastAsia="zh-CN"/>
        </w:rPr>
        <w:t>废水污染物排放执行标准表</w:t>
      </w:r>
      <w:bookmarkStart w:id="63" w:name="BIAO13FSZXBJ"/>
    </w:p>
    <w:bookmarkEnd w:id="63"/>
    <w:tbl>
      <w:tblPr>
        <w:tblStyle w:val="7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975"/>
        <w:gridCol w:w="2205"/>
        <w:gridCol w:w="3480"/>
        <w:gridCol w:w="20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序号</w:t>
            </w:r>
          </w:p>
        </w:tc>
        <w:tc>
          <w:tcPr>
            <w:tcW w:w="975"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排放口编号</w:t>
            </w:r>
          </w:p>
        </w:tc>
        <w:tc>
          <w:tcPr>
            <w:tcW w:w="2205"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污染物种类</w:t>
            </w:r>
          </w:p>
        </w:tc>
        <w:tc>
          <w:tcPr>
            <w:tcW w:w="5572" w:type="dxa"/>
            <w:gridSpan w:val="2"/>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3480"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名称</w:t>
            </w: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浓度限值</w:t>
            </w:r>
            <w:r>
              <w:rPr>
                <w:rFonts w:hint="default" w:ascii="Times New Roman" w:hAnsi="Times New Roman" w:eastAsia="宋体" w:cs="Times New Roman"/>
                <w:b w:val="0"/>
                <w:bCs w:val="0"/>
                <w:color w:val="auto"/>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975"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Style w:val="79"/>
                <w:rFonts w:hint="default" w:ascii="Times New Roman" w:hAnsi="Times New Roman" w:eastAsia="宋体" w:cs="Times New Roman"/>
                <w:color w:val="auto"/>
                <w:kern w:val="2"/>
                <w:sz w:val="21"/>
                <w:szCs w:val="21"/>
                <w:lang w:val="en-US" w:eastAsia="zh-CN" w:bidi="ar-SA"/>
              </w:rPr>
              <w:t>DW001</w:t>
            </w: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3480"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《山西省地方标准污水综合排放标准》（DB14/1928-2019）中表2</w:t>
            </w:r>
            <w:r>
              <w:rPr>
                <w:rFonts w:hint="default" w:ascii="Times New Roman" w:hAnsi="Times New Roman" w:eastAsia="宋体" w:cs="Times New Roman"/>
                <w:b w:val="0"/>
                <w:bCs w:val="0"/>
                <w:color w:val="auto"/>
                <w:sz w:val="21"/>
                <w:szCs w:val="21"/>
                <w:vertAlign w:val="baseline"/>
              </w:rPr>
              <w:t>标准</w:t>
            </w: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TP</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480"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《城镇污水处理厂污染物排放标准》（GB18918-2002）一级A标准</w:t>
            </w: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4"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p>
        </w:tc>
        <w:tc>
          <w:tcPr>
            <w:tcW w:w="97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20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粪大肠菌群/（个/L）</w:t>
            </w:r>
          </w:p>
        </w:tc>
        <w:tc>
          <w:tcPr>
            <w:tcW w:w="3480"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2092"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1000</w:t>
            </w:r>
          </w:p>
        </w:tc>
      </w:tr>
    </w:tbl>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outlineLvl w:val="2"/>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废水污染物排放信息表见表3-10。</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表</w:t>
      </w:r>
      <w:r>
        <w:rPr>
          <w:rFonts w:hint="default" w:ascii="Times New Roman" w:hAnsi="Times New Roman" w:eastAsia="宋体" w:cs="Times New Roman"/>
          <w:b/>
          <w:bCs/>
          <w:color w:val="auto"/>
          <w:sz w:val="24"/>
          <w:szCs w:val="32"/>
          <w:lang w:val="en-US" w:eastAsia="zh-CN"/>
        </w:rPr>
        <w:t xml:space="preserve">3-10  </w:t>
      </w:r>
      <w:r>
        <w:rPr>
          <w:rFonts w:hint="default" w:ascii="Times New Roman" w:hAnsi="Times New Roman" w:eastAsia="宋体" w:cs="Times New Roman"/>
          <w:b/>
          <w:bCs/>
          <w:color w:val="auto"/>
          <w:sz w:val="24"/>
          <w:szCs w:val="32"/>
          <w:lang w:eastAsia="zh-CN"/>
        </w:rPr>
        <w:t>废水污染物排放信息表</w:t>
      </w:r>
    </w:p>
    <w:tbl>
      <w:tblPr>
        <w:tblStyle w:val="7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9"/>
        <w:gridCol w:w="1425"/>
        <w:gridCol w:w="1425"/>
        <w:gridCol w:w="2055"/>
        <w:gridCol w:w="1755"/>
        <w:gridCol w:w="1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序号</w:t>
            </w: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排放口编号</w:t>
            </w: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污染物种类</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排放浓度</w:t>
            </w:r>
            <w:r>
              <w:rPr>
                <w:rFonts w:hint="default" w:ascii="Times New Roman" w:hAnsi="Times New Roman" w:eastAsia="宋体" w:cs="Times New Roman"/>
                <w:b w:val="0"/>
                <w:bCs w:val="0"/>
                <w:color w:val="auto"/>
                <w:sz w:val="21"/>
                <w:szCs w:val="21"/>
                <w:vertAlign w:val="baseline"/>
                <w:lang w:val="en-US" w:eastAsia="zh-CN"/>
              </w:rPr>
              <w:t>/（mg/l）</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日排放量</w:t>
            </w:r>
            <w:r>
              <w:rPr>
                <w:rFonts w:hint="default" w:ascii="Times New Roman" w:hAnsi="Times New Roman" w:eastAsia="宋体" w:cs="Times New Roman"/>
                <w:b w:val="0"/>
                <w:bCs w:val="0"/>
                <w:color w:val="auto"/>
                <w:sz w:val="21"/>
                <w:szCs w:val="21"/>
                <w:vertAlign w:val="baseline"/>
                <w:lang w:val="en-US" w:eastAsia="zh-CN"/>
              </w:rPr>
              <w:t>/（t/a）</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年排放量</w:t>
            </w:r>
            <w:r>
              <w:rPr>
                <w:rFonts w:hint="default" w:ascii="Times New Roman" w:hAnsi="Times New Roman" w:eastAsia="宋体" w:cs="Times New Roman"/>
                <w:b w:val="0"/>
                <w:bCs w:val="0"/>
                <w:color w:val="auto"/>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425" w:type="dxa"/>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Style w:val="79"/>
                <w:rFonts w:hint="default" w:ascii="Times New Roman" w:hAnsi="Times New Roman" w:eastAsia="宋体" w:cs="Times New Roman"/>
                <w:color w:val="auto"/>
                <w:kern w:val="2"/>
                <w:sz w:val="21"/>
                <w:szCs w:val="21"/>
                <w:lang w:val="en-US" w:eastAsia="zh-CN" w:bidi="ar-SA"/>
              </w:rPr>
              <w:t>DW001</w:t>
            </w: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kern w:val="0"/>
                <w:sz w:val="21"/>
                <w:szCs w:val="21"/>
              </w:rPr>
              <w:t>CODcr</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42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0.03</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42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kern w:val="0"/>
                <w:sz w:val="21"/>
                <w:szCs w:val="21"/>
              </w:rPr>
              <w:t>SS</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0.03</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42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kern w:val="0"/>
                <w:sz w:val="21"/>
                <w:szCs w:val="21"/>
              </w:rPr>
              <w:t>TP</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0.0012</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142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kern w:val="0"/>
                <w:sz w:val="21"/>
                <w:szCs w:val="21"/>
              </w:rPr>
              <w:t>TN</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0.045</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9"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1425" w:type="dxa"/>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p>
        </w:tc>
        <w:tc>
          <w:tcPr>
            <w:tcW w:w="1425" w:type="dxa"/>
            <w:tcBorders>
              <w:tl2br w:val="nil"/>
              <w:tr2bl w:val="nil"/>
            </w:tcBorders>
            <w:vAlign w:val="center"/>
          </w:tcPr>
          <w:p>
            <w:pPr>
              <w:spacing w:line="240" w:lineRule="auto"/>
              <w:jc w:val="center"/>
              <w:outlineLvl w:val="2"/>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20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755"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0.006</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4" w:type="dxa"/>
            <w:gridSpan w:val="2"/>
            <w:vMerge w:val="restart"/>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全厂排放口合计</w:t>
            </w:r>
          </w:p>
        </w:tc>
        <w:tc>
          <w:tcPr>
            <w:tcW w:w="5235" w:type="dxa"/>
            <w:gridSpan w:val="3"/>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rPr>
              <w:t>CODcr</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4" w:type="dxa"/>
            <w:gridSpan w:val="2"/>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p>
        </w:tc>
        <w:tc>
          <w:tcPr>
            <w:tcW w:w="5235" w:type="dxa"/>
            <w:gridSpan w:val="3"/>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4" w:type="dxa"/>
            <w:gridSpan w:val="2"/>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p>
        </w:tc>
        <w:tc>
          <w:tcPr>
            <w:tcW w:w="5235" w:type="dxa"/>
            <w:gridSpan w:val="3"/>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rPr>
              <w:t>SS</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4" w:type="dxa"/>
            <w:gridSpan w:val="2"/>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p>
        </w:tc>
        <w:tc>
          <w:tcPr>
            <w:tcW w:w="5235" w:type="dxa"/>
            <w:gridSpan w:val="3"/>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rPr>
              <w:t>TP</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0.438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4" w:type="dxa"/>
            <w:gridSpan w:val="2"/>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p>
        </w:tc>
        <w:tc>
          <w:tcPr>
            <w:tcW w:w="5235" w:type="dxa"/>
            <w:gridSpan w:val="3"/>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rPr>
              <w:t>TN</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16.425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4" w:type="dxa"/>
            <w:gridSpan w:val="2"/>
            <w:vMerge w:val="continue"/>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p>
        </w:tc>
        <w:tc>
          <w:tcPr>
            <w:tcW w:w="5235" w:type="dxa"/>
            <w:gridSpan w:val="3"/>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1837" w:type="dxa"/>
            <w:tcBorders>
              <w:tl2br w:val="nil"/>
              <w:tr2bl w:val="nil"/>
            </w:tcBorders>
            <w:vAlign w:val="center"/>
          </w:tcPr>
          <w:p>
            <w:pPr>
              <w:spacing w:line="240" w:lineRule="auto"/>
              <w:jc w:val="center"/>
              <w:outlineLvl w:val="2"/>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2.19</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3.7.</w:t>
      </w: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预测源强及背景浓度</w:t>
      </w:r>
      <w:bookmarkEnd w:id="6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（1）预测因子浓度及源强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本项目处理后的COD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、TP、NH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-N执行</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标准，其余指标执行《城镇污水处理厂污染物排放标准》（GB18918-2002）一级A标准。处理稳定达标排放浓度和源强见表3-</w:t>
      </w: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表3-</w:t>
      </w:r>
      <w:r>
        <w:rPr>
          <w:rFonts w:hint="default" w:ascii="Times New Roman" w:hAnsi="Times New Roman" w:eastAsia="宋体" w:cs="Times New Roman"/>
          <w:b/>
          <w:bCs/>
          <w:color w:val="auto"/>
          <w:sz w:val="24"/>
          <w:szCs w:val="32"/>
          <w:lang w:val="en-US" w:eastAsia="zh-CN"/>
        </w:rPr>
        <w:t xml:space="preserve">11    </w:t>
      </w:r>
      <w:r>
        <w:rPr>
          <w:rFonts w:hint="default" w:ascii="Times New Roman" w:hAnsi="Times New Roman" w:eastAsia="宋体" w:cs="Times New Roman"/>
          <w:b/>
          <w:bCs/>
          <w:color w:val="auto"/>
          <w:sz w:val="24"/>
          <w:szCs w:val="32"/>
          <w:lang w:eastAsia="zh-CN"/>
        </w:rPr>
        <w:t>废水排放污染源强表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43"/>
        <w:gridCol w:w="1245"/>
        <w:gridCol w:w="1470"/>
        <w:gridCol w:w="1785"/>
        <w:gridCol w:w="25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废水排放量（m³/d）</w:t>
            </w:r>
          </w:p>
        </w:tc>
        <w:tc>
          <w:tcPr>
            <w:tcW w:w="124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排污状况</w:t>
            </w: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浓度（mg/l）</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排放源强（t/a）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124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正常排放</w:t>
            </w: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78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543"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事故排放</w:t>
            </w: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1785" w:type="dxa"/>
            <w:tcBorders>
              <w:tl2br w:val="nil"/>
              <w:tr2bl w:val="nil"/>
            </w:tcBorders>
            <w:vAlign w:val="center"/>
          </w:tcPr>
          <w:p>
            <w:pPr>
              <w:spacing w:line="240" w:lineRule="auto"/>
              <w:ind w:left="-105" w:right="-10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330</w:t>
            </w:r>
          </w:p>
        </w:tc>
        <w:tc>
          <w:tcPr>
            <w:tcW w:w="2543" w:type="dxa"/>
            <w:tcBorders>
              <w:tl2br w:val="nil"/>
              <w:tr2bl w:val="nil"/>
            </w:tcBorders>
            <w:vAlign w:val="center"/>
          </w:tcPr>
          <w:p>
            <w:pPr>
              <w:pStyle w:val="383"/>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361.55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785" w:type="dxa"/>
            <w:tcBorders>
              <w:tl2br w:val="nil"/>
              <w:tr2bl w:val="nil"/>
            </w:tcBorders>
            <w:vAlign w:val="center"/>
          </w:tcPr>
          <w:p>
            <w:pPr>
              <w:spacing w:line="240" w:lineRule="auto"/>
              <w:ind w:left="-105" w:right="-10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169</w:t>
            </w:r>
          </w:p>
        </w:tc>
        <w:tc>
          <w:tcPr>
            <w:tcW w:w="2543" w:type="dxa"/>
            <w:tcBorders>
              <w:tl2br w:val="nil"/>
              <w:tr2bl w:val="nil"/>
            </w:tcBorders>
            <w:vAlign w:val="center"/>
          </w:tcPr>
          <w:p>
            <w:pPr>
              <w:pStyle w:val="383"/>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185.055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785" w:type="dxa"/>
            <w:tcBorders>
              <w:tl2br w:val="nil"/>
              <w:tr2bl w:val="nil"/>
            </w:tcBorders>
            <w:vAlign w:val="center"/>
          </w:tcPr>
          <w:p>
            <w:pPr>
              <w:spacing w:line="240" w:lineRule="auto"/>
              <w:ind w:left="-105" w:right="-10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2543" w:type="dxa"/>
            <w:tcBorders>
              <w:tl2br w:val="nil"/>
              <w:tr2bl w:val="nil"/>
            </w:tcBorders>
            <w:vAlign w:val="center"/>
          </w:tcPr>
          <w:p>
            <w:pPr>
              <w:pStyle w:val="383"/>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41.61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785" w:type="dxa"/>
            <w:tcBorders>
              <w:tl2br w:val="nil"/>
              <w:tr2bl w:val="nil"/>
            </w:tcBorders>
            <w:vAlign w:val="center"/>
          </w:tcPr>
          <w:p>
            <w:pPr>
              <w:spacing w:line="240" w:lineRule="auto"/>
              <w:ind w:left="-105" w:right="-10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2543" w:type="dxa"/>
            <w:tcBorders>
              <w:tl2br w:val="nil"/>
              <w:tr2bl w:val="nil"/>
            </w:tcBorders>
            <w:vAlign w:val="center"/>
          </w:tcPr>
          <w:p>
            <w:pPr>
              <w:pStyle w:val="383"/>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3.723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785" w:type="dxa"/>
            <w:tcBorders>
              <w:tl2br w:val="nil"/>
              <w:tr2bl w:val="nil"/>
            </w:tcBorders>
            <w:vAlign w:val="center"/>
          </w:tcPr>
          <w:p>
            <w:pPr>
              <w:spacing w:line="240" w:lineRule="auto"/>
              <w:ind w:left="-105" w:right="-10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2543" w:type="dxa"/>
            <w:tcBorders>
              <w:tl2br w:val="nil"/>
              <w:tr2bl w:val="nil"/>
            </w:tcBorders>
            <w:vAlign w:val="center"/>
          </w:tcPr>
          <w:p>
            <w:pPr>
              <w:pStyle w:val="383"/>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44"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4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7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785" w:type="dxa"/>
            <w:tcBorders>
              <w:tl2br w:val="nil"/>
              <w:tr2bl w:val="nil"/>
            </w:tcBorders>
            <w:vAlign w:val="center"/>
          </w:tcPr>
          <w:p>
            <w:pPr>
              <w:spacing w:line="240" w:lineRule="auto"/>
              <w:ind w:left="-105" w:right="-10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2543" w:type="dxa"/>
            <w:tcBorders>
              <w:tl2br w:val="nil"/>
              <w:tr2bl w:val="nil"/>
            </w:tcBorders>
            <w:vAlign w:val="center"/>
          </w:tcPr>
          <w:p>
            <w:pPr>
              <w:pStyle w:val="383"/>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119.355</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（2）滹沱河水质</w:t>
      </w:r>
      <w:r>
        <w:rPr>
          <w:rFonts w:hint="default" w:ascii="Times New Roman" w:hAnsi="Times New Roman" w:eastAsia="宋体" w:cs="Times New Roman"/>
          <w:color w:val="auto"/>
          <w:sz w:val="24"/>
          <w:lang w:eastAsia="zh-CN"/>
        </w:rPr>
        <w:t>对照断面、控制断面</w:t>
      </w:r>
      <w:r>
        <w:rPr>
          <w:rFonts w:hint="default" w:ascii="Times New Roman" w:hAnsi="Times New Roman" w:eastAsia="宋体" w:cs="Times New Roman"/>
          <w:color w:val="auto"/>
          <w:sz w:val="24"/>
        </w:rPr>
        <w:t>浓度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采用该排污口上游500m处（滹沱河上）的水质监测结果为</w:t>
      </w:r>
      <w:r>
        <w:rPr>
          <w:rFonts w:hint="default" w:ascii="Times New Roman" w:hAnsi="Times New Roman" w:eastAsia="宋体" w:cs="Times New Roman"/>
          <w:color w:val="auto"/>
          <w:sz w:val="24"/>
          <w:lang w:eastAsia="zh-CN"/>
        </w:rPr>
        <w:t>对照断面浓度，排污口下</w:t>
      </w:r>
      <w:r>
        <w:rPr>
          <w:rFonts w:hint="default" w:ascii="Times New Roman" w:hAnsi="Times New Roman" w:eastAsia="宋体" w:cs="Times New Roman"/>
          <w:color w:val="auto"/>
          <w:sz w:val="24"/>
        </w:rPr>
        <w:t>游500m处（滹沱河上）的水质监测结果为</w:t>
      </w:r>
      <w:r>
        <w:rPr>
          <w:rFonts w:hint="default" w:ascii="Times New Roman" w:hAnsi="Times New Roman" w:eastAsia="宋体" w:cs="Times New Roman"/>
          <w:color w:val="auto"/>
          <w:sz w:val="24"/>
          <w:lang w:val="en-US" w:eastAsia="zh-CN"/>
        </w:rPr>
        <w:t>1#控制断面，排污口下游</w:t>
      </w:r>
      <w:r>
        <w:rPr>
          <w:rFonts w:hint="default" w:ascii="Times New Roman" w:hAnsi="Times New Roman" w:eastAsia="宋体" w:cs="Times New Roman"/>
          <w:color w:val="auto"/>
          <w:sz w:val="24"/>
        </w:rPr>
        <w:t>上游</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500m处（滹沱河上）的水质监测结果为</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。具体浓度见表3-</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表3-</w:t>
      </w:r>
      <w:r>
        <w:rPr>
          <w:rFonts w:hint="default" w:ascii="Times New Roman" w:hAnsi="Times New Roman" w:eastAsia="宋体" w:cs="Times New Roman"/>
          <w:b/>
          <w:bCs/>
          <w:color w:val="auto"/>
          <w:sz w:val="24"/>
          <w:szCs w:val="32"/>
          <w:lang w:val="en-US" w:eastAsia="zh-CN"/>
        </w:rPr>
        <w:t xml:space="preserve">12   </w:t>
      </w:r>
      <w:r>
        <w:rPr>
          <w:rFonts w:hint="default" w:ascii="Times New Roman" w:hAnsi="Times New Roman" w:eastAsia="宋体" w:cs="Times New Roman"/>
          <w:b/>
          <w:bCs/>
          <w:color w:val="auto"/>
          <w:sz w:val="24"/>
          <w:szCs w:val="32"/>
          <w:lang w:eastAsia="zh-CN"/>
        </w:rPr>
        <w:t>预测水质浓度  单位mg/L</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8"/>
        <w:gridCol w:w="1196"/>
        <w:gridCol w:w="1196"/>
        <w:gridCol w:w="1196"/>
        <w:gridCol w:w="1196"/>
        <w:gridCol w:w="1196"/>
        <w:gridCol w:w="1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9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19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19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19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196"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19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8" w:type="dxa"/>
            <w:tcBorders>
              <w:tl2br w:val="nil"/>
              <w:tr2bl w:val="nil"/>
            </w:tcBorders>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枯水期</w:t>
            </w:r>
            <w:r>
              <w:rPr>
                <w:rFonts w:hint="default" w:ascii="Times New Roman" w:hAnsi="Times New Roman" w:eastAsia="宋体" w:cs="Times New Roman"/>
                <w:color w:val="auto"/>
                <w:sz w:val="21"/>
                <w:szCs w:val="21"/>
                <w:lang w:eastAsia="zh-CN"/>
              </w:rPr>
              <w:t>对照断面</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0.344</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0.982</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c>
          <w:tcPr>
            <w:tcW w:w="119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8" w:type="dxa"/>
            <w:tcBorders>
              <w:tl2br w:val="nil"/>
              <w:tr2bl w:val="nil"/>
            </w:tcBorders>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枯水期</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控制断面</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15.7</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0.310</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0.927</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c>
          <w:tcPr>
            <w:tcW w:w="119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08" w:type="dxa"/>
            <w:tcBorders>
              <w:tl2br w:val="nil"/>
              <w:tr2bl w:val="nil"/>
            </w:tcBorders>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枯水期</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控制断面</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16.7</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0.322</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0.915</w:t>
            </w:r>
          </w:p>
        </w:tc>
        <w:tc>
          <w:tcPr>
            <w:tcW w:w="1196" w:type="dxa"/>
            <w:tcBorders>
              <w:tl2br w:val="nil"/>
              <w:tr2bl w:val="nil"/>
            </w:tcBorders>
            <w:vAlign w:val="center"/>
          </w:tcPr>
          <w:p>
            <w:pPr>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19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bl>
    <w:p>
      <w:pPr>
        <w:outlineLvl w:val="2"/>
        <w:rPr>
          <w:rFonts w:hint="default" w:ascii="Times New Roman" w:hAnsi="Times New Roman" w:eastAsia="宋体" w:cs="Times New Roman"/>
          <w:color w:val="auto"/>
          <w:sz w:val="24"/>
        </w:rPr>
      </w:pPr>
      <w:bookmarkStart w:id="64" w:name="_Toc32153"/>
      <w:r>
        <w:rPr>
          <w:rFonts w:hint="default" w:ascii="Times New Roman" w:hAnsi="Times New Roman" w:eastAsia="宋体" w:cs="Times New Roman"/>
          <w:b/>
          <w:bCs/>
          <w:color w:val="auto"/>
          <w:sz w:val="24"/>
        </w:rPr>
        <w:t>3.7.</w:t>
      </w: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预测模型及参数率定</w:t>
      </w:r>
      <w:bookmarkEnd w:id="64"/>
    </w:p>
    <w:p>
      <w:pPr>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3.7.</w:t>
      </w: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.1模型选取</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经过调查预测断面河流宽度为116m，水深为1.6m，计算得宽深比为72.5，河流段最大弯曲系数约为1.12，可视为矩形平直河流。</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本项目排水为点源连续稳定排放，水域基本均匀混合。因此选用规范中零维模型的解析法进行估算。</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根据零维模型模型选择解析解公式。</w:t>
      </w:r>
    </w:p>
    <w:p>
      <w:pPr>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drawing>
          <wp:anchor distT="0" distB="0" distL="114300" distR="114300" simplePos="0" relativeHeight="251667456" behindDoc="0" locked="0" layoutInCell="1" allowOverlap="1">
            <wp:simplePos x="0" y="0"/>
            <wp:positionH relativeFrom="page">
              <wp:posOffset>1781175</wp:posOffset>
            </wp:positionH>
            <wp:positionV relativeFrom="page">
              <wp:posOffset>1270000</wp:posOffset>
            </wp:positionV>
            <wp:extent cx="1902460" cy="231775"/>
            <wp:effectExtent l="0" t="0" r="2540" b="16510"/>
            <wp:wrapNone/>
            <wp:docPr id="37"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2"/>
                    <pic:cNvPicPr>
                      <a:picLocks noChangeAspect="1"/>
                    </pic:cNvPicPr>
                  </pic:nvPicPr>
                  <pic:blipFill>
                    <a:blip r:embed="rId65"/>
                    <a:stretch>
                      <a:fillRect/>
                    </a:stretch>
                  </pic:blipFill>
                  <pic:spPr>
                    <a:xfrm>
                      <a:off x="0" y="0"/>
                      <a:ext cx="1902460" cy="2317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式中：C</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——污染物浓度，mg/L；</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p</w:t>
      </w:r>
      <w:r>
        <w:rPr>
          <w:rFonts w:hint="default" w:ascii="Times New Roman" w:hAnsi="Times New Roman" w:eastAsia="宋体" w:cs="Times New Roman"/>
          <w:color w:val="auto"/>
          <w:sz w:val="24"/>
        </w:rPr>
        <w:t>——污染物排放浓度，mg/L；</w:t>
      </w:r>
    </w:p>
    <w:p>
      <w:pPr>
        <w:keepNext w:val="0"/>
        <w:keepLines w:val="0"/>
        <w:pageBreakBefore w:val="0"/>
        <w:widowControl w:val="0"/>
        <w:kinsoku/>
        <w:wordWrap/>
        <w:overflowPunct/>
        <w:topLinePunct w:val="0"/>
        <w:autoSpaceDE/>
        <w:autoSpaceDN/>
        <w:bidi w:val="0"/>
        <w:adjustRightInd/>
        <w:snapToGrid/>
        <w:spacing w:line="480" w:lineRule="exact"/>
        <w:ind w:firstLine="720" w:firstLineChars="3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rPr>
        <w:t>Q</w:t>
      </w:r>
      <w:r>
        <w:rPr>
          <w:rFonts w:hint="default" w:ascii="Times New Roman" w:hAnsi="Times New Roman" w:eastAsia="宋体" w:cs="Times New Roman"/>
          <w:color w:val="auto"/>
          <w:position w:val="-4"/>
          <w:sz w:val="24"/>
          <w:vertAlign w:val="subscript"/>
        </w:rPr>
        <w:t>P</w:t>
      </w:r>
      <w:r>
        <w:rPr>
          <w:rFonts w:hint="default" w:ascii="Times New Roman" w:hAnsi="Times New Roman" w:eastAsia="宋体" w:cs="Times New Roman"/>
          <w:color w:val="auto"/>
          <w:sz w:val="24"/>
        </w:rPr>
        <w:t>——污水排放量，m³/s；</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h</w:t>
      </w:r>
      <w:r>
        <w:rPr>
          <w:rFonts w:hint="default" w:ascii="Times New Roman" w:hAnsi="Times New Roman" w:eastAsia="宋体" w:cs="Times New Roman"/>
          <w:color w:val="auto"/>
          <w:sz w:val="24"/>
        </w:rPr>
        <w:t>——河流上游污染物浓度，mg/L；</w:t>
      </w:r>
    </w:p>
    <w:p>
      <w:pPr>
        <w:keepNext w:val="0"/>
        <w:keepLines w:val="0"/>
        <w:pageBreakBefore w:val="0"/>
        <w:widowControl w:val="0"/>
        <w:kinsoku/>
        <w:wordWrap/>
        <w:overflowPunct/>
        <w:topLinePunct w:val="0"/>
        <w:autoSpaceDE/>
        <w:autoSpaceDN/>
        <w:bidi w:val="0"/>
        <w:adjustRightInd/>
        <w:snapToGrid/>
        <w:spacing w:line="480" w:lineRule="exact"/>
        <w:ind w:firstLine="720" w:firstLineChars="3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rPr>
        <w:t>Q</w:t>
      </w:r>
      <w:r>
        <w:rPr>
          <w:rFonts w:hint="default" w:ascii="Times New Roman" w:hAnsi="Times New Roman" w:eastAsia="宋体" w:cs="Times New Roman"/>
          <w:color w:val="auto"/>
          <w:position w:val="-4"/>
          <w:sz w:val="24"/>
          <w:vertAlign w:val="subscript"/>
        </w:rPr>
        <w:t>h</w:t>
      </w:r>
      <w:r>
        <w:rPr>
          <w:rFonts w:hint="default" w:ascii="Times New Roman" w:hAnsi="Times New Roman" w:eastAsia="宋体" w:cs="Times New Roman"/>
          <w:color w:val="auto"/>
          <w:sz w:val="24"/>
        </w:rPr>
        <w:t>——河流流量，m³/s；</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计算得出C</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值见表3-</w:t>
      </w:r>
      <w:r>
        <w:rPr>
          <w:rFonts w:hint="default"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eastAsia="zh-CN"/>
        </w:rPr>
        <w:t>表3-</w:t>
      </w:r>
      <w:r>
        <w:rPr>
          <w:rFonts w:hint="default" w:ascii="Times New Roman" w:hAnsi="Times New Roman" w:eastAsia="宋体" w:cs="Times New Roman"/>
          <w:b/>
          <w:bCs/>
          <w:color w:val="auto"/>
          <w:sz w:val="24"/>
          <w:szCs w:val="32"/>
          <w:lang w:val="en-US" w:eastAsia="zh-CN"/>
        </w:rPr>
        <w:t xml:space="preserve">13   </w:t>
      </w:r>
      <w:r>
        <w:rPr>
          <w:rFonts w:hint="default" w:ascii="Times New Roman" w:hAnsi="Times New Roman" w:eastAsia="宋体" w:cs="Times New Roman"/>
          <w:b/>
          <w:bCs/>
          <w:color w:val="auto"/>
          <w:sz w:val="24"/>
          <w:szCs w:val="32"/>
          <w:lang w:eastAsia="zh-CN"/>
        </w:rPr>
        <w:t>枯水期计算结果表</w:t>
      </w:r>
      <w:r>
        <w:rPr>
          <w:rFonts w:hint="default" w:ascii="Times New Roman" w:hAnsi="Times New Roman" w:eastAsia="宋体" w:cs="Times New Roman"/>
          <w:b/>
          <w:bCs/>
          <w:color w:val="auto"/>
          <w:sz w:val="24"/>
          <w:szCs w:val="32"/>
          <w:lang w:val="en-US" w:eastAsia="zh-CN"/>
        </w:rPr>
        <w:t xml:space="preserve">  单位mg/L</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8"/>
        <w:gridCol w:w="1200"/>
        <w:gridCol w:w="1140"/>
        <w:gridCol w:w="1035"/>
        <w:gridCol w:w="975"/>
        <w:gridCol w:w="1050"/>
        <w:gridCol w:w="930"/>
        <w:gridCol w:w="10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2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断面</w:t>
            </w:r>
          </w:p>
        </w:tc>
        <w:tc>
          <w:tcPr>
            <w:tcW w:w="120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判别条件</w:t>
            </w:r>
          </w:p>
        </w:tc>
        <w:tc>
          <w:tcPr>
            <w:tcW w:w="114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4"/>
              </w:rPr>
              <w:t>cr</w:t>
            </w:r>
          </w:p>
        </w:tc>
        <w:tc>
          <w:tcPr>
            <w:tcW w:w="103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97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5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93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02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28" w:type="dxa"/>
            <w:tcBorders>
              <w:tl2br w:val="nil"/>
              <w:tr2bl w:val="nil"/>
            </w:tcBorders>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控制断面值</w:t>
            </w:r>
          </w:p>
        </w:tc>
        <w:tc>
          <w:tcPr>
            <w:tcW w:w="120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0</w:t>
            </w:r>
          </w:p>
        </w:tc>
        <w:tc>
          <w:tcPr>
            <w:tcW w:w="114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32.45</w:t>
            </w:r>
          </w:p>
        </w:tc>
        <w:tc>
          <w:tcPr>
            <w:tcW w:w="1035"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7.61</w:t>
            </w:r>
          </w:p>
        </w:tc>
        <w:tc>
          <w:tcPr>
            <w:tcW w:w="975"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w:t>
            </w:r>
          </w:p>
        </w:tc>
        <w:tc>
          <w:tcPr>
            <w:tcW w:w="105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10.63</w:t>
            </w:r>
          </w:p>
        </w:tc>
        <w:tc>
          <w:tcPr>
            <w:tcW w:w="93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w:t>
            </w:r>
          </w:p>
        </w:tc>
        <w:tc>
          <w:tcPr>
            <w:tcW w:w="102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28" w:type="dxa"/>
            <w:tcBorders>
              <w:tl2br w:val="nil"/>
              <w:tr2bl w:val="nil"/>
            </w:tcBorders>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控制断面值</w:t>
            </w:r>
          </w:p>
        </w:tc>
        <w:tc>
          <w:tcPr>
            <w:tcW w:w="120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0</w:t>
            </w:r>
          </w:p>
        </w:tc>
        <w:tc>
          <w:tcPr>
            <w:tcW w:w="114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32.66</w:t>
            </w:r>
          </w:p>
        </w:tc>
        <w:tc>
          <w:tcPr>
            <w:tcW w:w="1035"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7.67</w:t>
            </w:r>
          </w:p>
        </w:tc>
        <w:tc>
          <w:tcPr>
            <w:tcW w:w="975"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1.47</w:t>
            </w:r>
          </w:p>
        </w:tc>
        <w:tc>
          <w:tcPr>
            <w:tcW w:w="105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10.56</w:t>
            </w:r>
          </w:p>
        </w:tc>
        <w:tc>
          <w:tcPr>
            <w:tcW w:w="93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w:t>
            </w:r>
          </w:p>
        </w:tc>
        <w:tc>
          <w:tcPr>
            <w:tcW w:w="102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9.37</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本项目处理后的COD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、TP、NH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-N执行</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标准，其余指标执行《城镇污水处理厂污染物排放标准》（GB18918-2002）一级A标准。通过计算，项目正常运行时，污水达标排放后经均匀混合，</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控制断面处的</w:t>
      </w:r>
      <w:r>
        <w:rPr>
          <w:rFonts w:hint="default" w:ascii="Times New Roman" w:hAnsi="Times New Roman" w:eastAsia="宋体" w:cs="Times New Roman"/>
          <w:color w:val="auto"/>
          <w:sz w:val="24"/>
        </w:rPr>
        <w:t>COD</w:t>
      </w:r>
      <w:r>
        <w:rPr>
          <w:rFonts w:hint="default" w:ascii="Times New Roman" w:hAnsi="Times New Roman" w:eastAsia="宋体" w:cs="Times New Roman"/>
          <w:color w:val="auto"/>
          <w:sz w:val="24"/>
          <w:szCs w:val="24"/>
        </w:rPr>
        <w:t>cr</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32.45</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增加了</w:t>
      </w:r>
      <w:r>
        <w:rPr>
          <w:rFonts w:hint="default" w:ascii="Times New Roman" w:hAnsi="Times New Roman" w:eastAsia="宋体" w:cs="Times New Roman"/>
          <w:color w:val="auto"/>
          <w:sz w:val="24"/>
          <w:lang w:val="en-US" w:eastAsia="zh-CN"/>
        </w:rPr>
        <w:t>16.75</w:t>
      </w:r>
      <w:r>
        <w:rPr>
          <w:rFonts w:hint="default" w:ascii="Times New Roman" w:hAnsi="Times New Roman" w:eastAsia="宋体" w:cs="Times New Roman"/>
          <w:color w:val="auto"/>
          <w:sz w:val="24"/>
        </w:rPr>
        <w:t>mg/L；BOD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7.61</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5.31</w:t>
      </w:r>
      <w:r>
        <w:rPr>
          <w:rFonts w:hint="default" w:ascii="Times New Roman" w:hAnsi="Times New Roman" w:eastAsia="宋体" w:cs="Times New Roman"/>
          <w:color w:val="auto"/>
          <w:sz w:val="24"/>
        </w:rPr>
        <w:t>mg/L；NH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-N浓度为</w:t>
      </w:r>
      <w:r>
        <w:rPr>
          <w:rFonts w:hint="default" w:ascii="Times New Roman" w:hAnsi="Times New Roman" w:eastAsia="宋体" w:cs="Times New Roman"/>
          <w:color w:val="auto"/>
          <w:sz w:val="24"/>
          <w:lang w:val="en-US" w:eastAsia="zh-CN"/>
        </w:rPr>
        <w:t>1.47</w:t>
      </w:r>
      <w:r>
        <w:rPr>
          <w:rFonts w:hint="default" w:ascii="Times New Roman" w:hAnsi="Times New Roman" w:eastAsia="宋体" w:cs="Times New Roman"/>
          <w:color w:val="auto"/>
          <w:sz w:val="24"/>
        </w:rPr>
        <w:t xml:space="preserve"> 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1.16</w:t>
      </w:r>
      <w:r>
        <w:rPr>
          <w:rFonts w:hint="default" w:ascii="Times New Roman" w:hAnsi="Times New Roman" w:eastAsia="宋体" w:cs="Times New Roman"/>
          <w:color w:val="auto"/>
          <w:sz w:val="24"/>
        </w:rPr>
        <w:t>mg/L；TN浓度为</w:t>
      </w:r>
      <w:r>
        <w:rPr>
          <w:rFonts w:hint="default" w:ascii="Times New Roman" w:hAnsi="Times New Roman" w:eastAsia="宋体" w:cs="Times New Roman"/>
          <w:color w:val="auto"/>
          <w:sz w:val="24"/>
          <w:lang w:val="en-US" w:eastAsia="zh-CN"/>
        </w:rPr>
        <w:t>10.63</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9.703</w:t>
      </w:r>
      <w:r>
        <w:rPr>
          <w:rFonts w:hint="default" w:ascii="Times New Roman" w:hAnsi="Times New Roman" w:eastAsia="宋体" w:cs="Times New Roman"/>
          <w:color w:val="auto"/>
          <w:sz w:val="24"/>
        </w:rPr>
        <w:t>mg/L；TP浓度为</w:t>
      </w:r>
      <w:r>
        <w:rPr>
          <w:rFonts w:hint="default" w:ascii="Times New Roman" w:hAnsi="Times New Roman" w:eastAsia="宋体" w:cs="Times New Roman"/>
          <w:color w:val="auto"/>
          <w:sz w:val="24"/>
          <w:lang w:val="en-US" w:eastAsia="zh-CN"/>
        </w:rPr>
        <w:t>0.33</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0.16</w:t>
      </w:r>
      <w:r>
        <w:rPr>
          <w:rFonts w:hint="default" w:ascii="Times New Roman" w:hAnsi="Times New Roman" w:eastAsia="宋体" w:cs="Times New Roman"/>
          <w:color w:val="auto"/>
          <w:sz w:val="24"/>
        </w:rPr>
        <w:t>mg/L；SS浓度为</w:t>
      </w:r>
      <w:r>
        <w:rPr>
          <w:rFonts w:hint="default" w:ascii="Times New Roman" w:hAnsi="Times New Roman" w:eastAsia="宋体" w:cs="Times New Roman"/>
          <w:color w:val="auto"/>
          <w:sz w:val="24"/>
          <w:lang w:val="en-US" w:eastAsia="zh-CN"/>
        </w:rPr>
        <w:t>9.07</w:t>
      </w:r>
      <w:r>
        <w:rPr>
          <w:rFonts w:hint="default" w:ascii="Times New Roman" w:hAnsi="Times New Roman" w:eastAsia="宋体" w:cs="Times New Roman"/>
          <w:color w:val="auto"/>
          <w:sz w:val="24"/>
        </w:rPr>
        <w:t xml:space="preserve"> 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2.07</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控制断面处的</w:t>
      </w:r>
      <w:r>
        <w:rPr>
          <w:rFonts w:hint="default" w:ascii="Times New Roman" w:hAnsi="Times New Roman" w:eastAsia="宋体" w:cs="Times New Roman"/>
          <w:color w:val="auto"/>
          <w:sz w:val="24"/>
        </w:rPr>
        <w:t>COD</w:t>
      </w:r>
      <w:r>
        <w:rPr>
          <w:rFonts w:hint="default" w:ascii="Times New Roman" w:hAnsi="Times New Roman" w:eastAsia="宋体" w:cs="Times New Roman"/>
          <w:color w:val="auto"/>
          <w:sz w:val="24"/>
          <w:szCs w:val="24"/>
        </w:rPr>
        <w:t>cr</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32.66</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增加了</w:t>
      </w:r>
      <w:r>
        <w:rPr>
          <w:rFonts w:hint="default" w:ascii="Times New Roman" w:hAnsi="Times New Roman" w:eastAsia="宋体" w:cs="Times New Roman"/>
          <w:color w:val="auto"/>
          <w:sz w:val="24"/>
          <w:lang w:val="en-US" w:eastAsia="zh-CN"/>
        </w:rPr>
        <w:t>15.96</w:t>
      </w:r>
      <w:r>
        <w:rPr>
          <w:rFonts w:hint="default" w:ascii="Times New Roman" w:hAnsi="Times New Roman" w:eastAsia="宋体" w:cs="Times New Roman"/>
          <w:color w:val="auto"/>
          <w:sz w:val="24"/>
        </w:rPr>
        <w:t>mg/L；BOD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7.67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5.07</w:t>
      </w:r>
      <w:r>
        <w:rPr>
          <w:rFonts w:hint="default" w:ascii="Times New Roman" w:hAnsi="Times New Roman" w:eastAsia="宋体" w:cs="Times New Roman"/>
          <w:color w:val="auto"/>
          <w:sz w:val="24"/>
        </w:rPr>
        <w:t>mg/L；NH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-N浓度为</w:t>
      </w:r>
      <w:r>
        <w:rPr>
          <w:rFonts w:hint="default" w:ascii="Times New Roman" w:hAnsi="Times New Roman" w:eastAsia="宋体" w:cs="Times New Roman"/>
          <w:color w:val="auto"/>
          <w:sz w:val="24"/>
          <w:lang w:val="en-US" w:eastAsia="zh-CN"/>
        </w:rPr>
        <w:t>1.47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1.148</w:t>
      </w:r>
      <w:r>
        <w:rPr>
          <w:rFonts w:hint="default" w:ascii="Times New Roman" w:hAnsi="Times New Roman" w:eastAsia="宋体" w:cs="Times New Roman"/>
          <w:color w:val="auto"/>
          <w:sz w:val="24"/>
        </w:rPr>
        <w:t>mg/L；TN浓度为</w:t>
      </w:r>
      <w:r>
        <w:rPr>
          <w:rFonts w:hint="default" w:ascii="Times New Roman" w:hAnsi="Times New Roman" w:eastAsia="宋体" w:cs="Times New Roman"/>
          <w:color w:val="auto"/>
          <w:sz w:val="24"/>
          <w:lang w:val="en-US" w:eastAsia="zh-CN"/>
        </w:rPr>
        <w:t>10.56</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9.645</w:t>
      </w:r>
      <w:r>
        <w:rPr>
          <w:rFonts w:hint="default" w:ascii="Times New Roman" w:hAnsi="Times New Roman" w:eastAsia="宋体" w:cs="Times New Roman"/>
          <w:color w:val="auto"/>
          <w:sz w:val="24"/>
        </w:rPr>
        <w:t>mg/L；TP浓度为</w:t>
      </w:r>
      <w:r>
        <w:rPr>
          <w:rFonts w:hint="default" w:ascii="Times New Roman" w:hAnsi="Times New Roman" w:eastAsia="宋体" w:cs="Times New Roman"/>
          <w:color w:val="auto"/>
          <w:sz w:val="24"/>
          <w:lang w:val="en-US" w:eastAsia="zh-CN"/>
        </w:rPr>
        <w:t>0.32</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0.16</w:t>
      </w:r>
      <w:r>
        <w:rPr>
          <w:rFonts w:hint="default" w:ascii="Times New Roman" w:hAnsi="Times New Roman" w:eastAsia="宋体" w:cs="Times New Roman"/>
          <w:color w:val="auto"/>
          <w:sz w:val="24"/>
        </w:rPr>
        <w:t>mg/L；SS浓度为</w:t>
      </w:r>
      <w:r>
        <w:rPr>
          <w:rFonts w:hint="default" w:ascii="Times New Roman" w:hAnsi="Times New Roman" w:eastAsia="宋体" w:cs="Times New Roman"/>
          <w:color w:val="auto"/>
          <w:sz w:val="24"/>
          <w:lang w:val="en-US" w:eastAsia="zh-CN"/>
        </w:rPr>
        <w:t>9.37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1.37</w:t>
      </w:r>
      <w:r>
        <w:rPr>
          <w:rFonts w:hint="default" w:ascii="Times New Roman" w:hAnsi="Times New Roman" w:eastAsia="宋体" w:cs="Times New Roman"/>
          <w:color w:val="auto"/>
          <w:sz w:val="24"/>
        </w:rPr>
        <w:t>mg/L。</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经预测，</w:t>
      </w:r>
      <w:r>
        <w:rPr>
          <w:rFonts w:hint="default" w:ascii="Times New Roman" w:hAnsi="Times New Roman" w:eastAsia="宋体" w:cs="Times New Roman"/>
          <w:color w:val="auto"/>
          <w:sz w:val="24"/>
          <w:lang w:eastAsia="zh-CN"/>
        </w:rPr>
        <w:t>本项目建设运营后排放的</w:t>
      </w:r>
      <w:r>
        <w:rPr>
          <w:rFonts w:hint="default" w:ascii="Times New Roman" w:hAnsi="Times New Roman" w:eastAsia="宋体" w:cs="Times New Roman"/>
          <w:color w:val="auto"/>
          <w:sz w:val="24"/>
        </w:rPr>
        <w:t>污染物经均匀混合后</w:t>
      </w:r>
      <w:r>
        <w:rPr>
          <w:rFonts w:hint="default" w:ascii="Times New Roman" w:hAnsi="Times New Roman" w:eastAsia="宋体" w:cs="Times New Roman"/>
          <w:color w:val="auto"/>
          <w:sz w:val="24"/>
          <w:lang w:eastAsia="zh-CN"/>
        </w:rPr>
        <w:t>较</w:t>
      </w:r>
      <w:r>
        <w:rPr>
          <w:rFonts w:hint="default" w:ascii="Times New Roman" w:hAnsi="Times New Roman" w:eastAsia="宋体" w:cs="Times New Roman"/>
          <w:color w:val="auto"/>
          <w:sz w:val="24"/>
          <w:lang w:val="en-US" w:eastAsia="zh-CN"/>
        </w:rPr>
        <w:t>1#控制断面及2#控制断面现状监测值</w:t>
      </w:r>
      <w:r>
        <w:rPr>
          <w:rFonts w:hint="default" w:ascii="Times New Roman" w:hAnsi="Times New Roman" w:eastAsia="宋体" w:cs="Times New Roman"/>
          <w:color w:val="auto"/>
          <w:sz w:val="24"/>
        </w:rPr>
        <w:t>浓度值</w:t>
      </w:r>
      <w:r>
        <w:rPr>
          <w:rFonts w:hint="default" w:ascii="Times New Roman" w:hAnsi="Times New Roman" w:eastAsia="宋体" w:cs="Times New Roman"/>
          <w:color w:val="auto"/>
          <w:sz w:val="24"/>
          <w:lang w:eastAsia="zh-CN"/>
        </w:rPr>
        <w:t>有所增加，但是因为目前繁峙县污水产生量已经达到现有污水处理厂的处理能力限值，若超过后超出部分的生活污水将不经处理直接排至滹沱河，对滹沱河水质造成较大影响，本项目运营后可将超出部分的生活污水引至本项目污水处理系统，经处理达标后排放，故本项目的建设会对下游水质有正面影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3.7.5.2事故排水对水环境影响分析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本项目事故排放目前主要发生在进厂水量超过设计标准、大面积和长时间停电、机械故障等非正常情况下，主要表现为污水超标排放、污染接纳水体。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污水未经处理直排的非正常情况，对河流造成的环境影响采用河流均匀混合模型对纳污河流进行计算，计算结果见表3-1</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eastAsia="zh-CN"/>
        </w:rPr>
        <w:t>表3-1</w:t>
      </w:r>
      <w:r>
        <w:rPr>
          <w:rFonts w:hint="default" w:ascii="Times New Roman" w:hAnsi="Times New Roman" w:eastAsia="宋体" w:cs="Times New Roman"/>
          <w:b/>
          <w:bCs/>
          <w:color w:val="auto"/>
          <w:sz w:val="24"/>
          <w:szCs w:val="32"/>
          <w:lang w:val="en-US" w:eastAsia="zh-CN"/>
        </w:rPr>
        <w:t xml:space="preserve">4  </w:t>
      </w:r>
      <w:r>
        <w:rPr>
          <w:rFonts w:hint="default" w:ascii="Times New Roman" w:hAnsi="Times New Roman" w:eastAsia="宋体" w:cs="Times New Roman"/>
          <w:b/>
          <w:bCs/>
          <w:color w:val="auto"/>
          <w:sz w:val="24"/>
          <w:szCs w:val="32"/>
          <w:lang w:eastAsia="zh-CN"/>
        </w:rPr>
        <w:t>枯水期计算结果表</w:t>
      </w:r>
      <w:r>
        <w:rPr>
          <w:rFonts w:hint="default" w:ascii="Times New Roman" w:hAnsi="Times New Roman" w:eastAsia="宋体" w:cs="Times New Roman"/>
          <w:b/>
          <w:bCs/>
          <w:color w:val="auto"/>
          <w:sz w:val="24"/>
          <w:szCs w:val="32"/>
          <w:lang w:val="en-US" w:eastAsia="zh-CN"/>
        </w:rPr>
        <w:t xml:space="preserve">  单位mg/L</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56"/>
        <w:gridCol w:w="1238"/>
        <w:gridCol w:w="1238"/>
        <w:gridCol w:w="1238"/>
        <w:gridCol w:w="1238"/>
        <w:gridCol w:w="1238"/>
        <w:gridCol w:w="1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57"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判别条件</w:t>
            </w:r>
          </w:p>
        </w:tc>
        <w:tc>
          <w:tcPr>
            <w:tcW w:w="123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4"/>
              </w:rPr>
              <w:t>cr</w:t>
            </w:r>
          </w:p>
        </w:tc>
        <w:tc>
          <w:tcPr>
            <w:tcW w:w="123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3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23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23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24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57"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0</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232.34</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117.20</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26.29</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34.75</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w:t>
            </w:r>
          </w:p>
        </w:tc>
        <w:tc>
          <w:tcPr>
            <w:tcW w:w="124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57"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0</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231.28</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116.57</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26.13</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34.53</w:t>
            </w:r>
          </w:p>
        </w:tc>
        <w:tc>
          <w:tcPr>
            <w:tcW w:w="1238"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2.38</w:t>
            </w:r>
          </w:p>
        </w:tc>
        <w:tc>
          <w:tcPr>
            <w:tcW w:w="1240" w:type="dxa"/>
            <w:tcBorders>
              <w:tl2br w:val="nil"/>
              <w:tr2bl w:val="nil"/>
            </w:tcBorders>
            <w:vAlign w:val="center"/>
          </w:tcPr>
          <w:p>
            <w:pPr>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77.17</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根据表1-13，生活污水不经生活污水应急处理站处理直接排放情况下，对排放口附近滹沱河水质影响较大，通过计算，项目正常运行时，污水达标排放后经均匀混合，</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控制断面处的</w:t>
      </w:r>
      <w:r>
        <w:rPr>
          <w:rFonts w:hint="default" w:ascii="Times New Roman" w:hAnsi="Times New Roman" w:eastAsia="宋体" w:cs="Times New Roman"/>
          <w:color w:val="auto"/>
          <w:sz w:val="24"/>
        </w:rPr>
        <w:t>CODcr浓度为</w:t>
      </w:r>
      <w:r>
        <w:rPr>
          <w:rFonts w:hint="default" w:ascii="Times New Roman" w:hAnsi="Times New Roman" w:eastAsia="宋体" w:cs="Times New Roman"/>
          <w:color w:val="auto"/>
          <w:sz w:val="24"/>
          <w:lang w:val="en-US" w:eastAsia="zh-CN"/>
        </w:rPr>
        <w:t>232.34</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1#控制断面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增加了</w:t>
      </w:r>
      <w:r>
        <w:rPr>
          <w:rFonts w:hint="default" w:ascii="Times New Roman" w:hAnsi="Times New Roman" w:eastAsia="宋体" w:cs="Times New Roman"/>
          <w:color w:val="auto"/>
          <w:sz w:val="24"/>
          <w:lang w:val="en-US" w:eastAsia="zh-CN"/>
        </w:rPr>
        <w:t>216.64</w:t>
      </w:r>
      <w:r>
        <w:rPr>
          <w:rFonts w:hint="default" w:ascii="Times New Roman" w:hAnsi="Times New Roman" w:eastAsia="宋体" w:cs="Times New Roman"/>
          <w:color w:val="auto"/>
          <w:sz w:val="24"/>
        </w:rPr>
        <w:t>mg/L；BOD5浓度为</w:t>
      </w:r>
      <w:r>
        <w:rPr>
          <w:rFonts w:hint="default" w:ascii="Times New Roman" w:hAnsi="Times New Roman" w:eastAsia="宋体" w:cs="Times New Roman"/>
          <w:color w:val="auto"/>
          <w:sz w:val="24"/>
          <w:lang w:val="en-US" w:eastAsia="zh-CN"/>
        </w:rPr>
        <w:t>117.20</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1#控制断面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114.9</w:t>
      </w:r>
      <w:r>
        <w:rPr>
          <w:rFonts w:hint="default" w:ascii="Times New Roman" w:hAnsi="Times New Roman" w:eastAsia="宋体" w:cs="Times New Roman"/>
          <w:color w:val="auto"/>
          <w:sz w:val="24"/>
        </w:rPr>
        <w:t>mg/L；NH3-N浓度为</w:t>
      </w:r>
      <w:r>
        <w:rPr>
          <w:rFonts w:hint="default" w:ascii="Times New Roman" w:hAnsi="Times New Roman" w:eastAsia="宋体" w:cs="Times New Roman"/>
          <w:color w:val="auto"/>
          <w:sz w:val="24"/>
          <w:lang w:val="en-US" w:eastAsia="zh-CN"/>
        </w:rPr>
        <w:t>26.29</w:t>
      </w:r>
      <w:r>
        <w:rPr>
          <w:rFonts w:hint="default" w:ascii="Times New Roman" w:hAnsi="Times New Roman" w:eastAsia="宋体" w:cs="Times New Roman"/>
          <w:color w:val="auto"/>
          <w:sz w:val="24"/>
        </w:rPr>
        <w:t xml:space="preserve"> mg/L，比</w:t>
      </w:r>
      <w:r>
        <w:rPr>
          <w:rFonts w:hint="default" w:ascii="Times New Roman" w:hAnsi="Times New Roman" w:eastAsia="宋体" w:cs="Times New Roman"/>
          <w:color w:val="auto"/>
          <w:sz w:val="24"/>
          <w:lang w:val="en-US" w:eastAsia="zh-CN"/>
        </w:rPr>
        <w:t>1#控制断面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25.98</w:t>
      </w:r>
      <w:r>
        <w:rPr>
          <w:rFonts w:hint="default" w:ascii="Times New Roman" w:hAnsi="Times New Roman" w:eastAsia="宋体" w:cs="Times New Roman"/>
          <w:color w:val="auto"/>
          <w:sz w:val="24"/>
        </w:rPr>
        <w:t>mg/L；TN浓度为</w:t>
      </w:r>
      <w:r>
        <w:rPr>
          <w:rFonts w:hint="default" w:ascii="Times New Roman" w:hAnsi="Times New Roman" w:eastAsia="宋体" w:cs="Times New Roman"/>
          <w:color w:val="auto"/>
          <w:sz w:val="24"/>
          <w:lang w:val="en-US" w:eastAsia="zh-CN"/>
        </w:rPr>
        <w:t>34.75</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1#控制断面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33.823</w:t>
      </w:r>
      <w:r>
        <w:rPr>
          <w:rFonts w:hint="default" w:ascii="Times New Roman" w:hAnsi="Times New Roman" w:eastAsia="宋体" w:cs="Times New Roman"/>
          <w:color w:val="auto"/>
          <w:sz w:val="24"/>
        </w:rPr>
        <w:t>mg/L；TP浓度为</w:t>
      </w:r>
      <w:r>
        <w:rPr>
          <w:rFonts w:hint="default" w:ascii="Times New Roman" w:hAnsi="Times New Roman" w:eastAsia="宋体" w:cs="Times New Roman"/>
          <w:color w:val="auto"/>
          <w:sz w:val="24"/>
          <w:lang w:val="en-US" w:eastAsia="zh-CN"/>
        </w:rPr>
        <w:t>2.40</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1#控制断面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2.23</w:t>
      </w:r>
      <w:r>
        <w:rPr>
          <w:rFonts w:hint="default" w:ascii="Times New Roman" w:hAnsi="Times New Roman" w:eastAsia="宋体" w:cs="Times New Roman"/>
          <w:color w:val="auto"/>
          <w:sz w:val="24"/>
        </w:rPr>
        <w:t>mg/L；SS浓度为</w:t>
      </w:r>
      <w:r>
        <w:rPr>
          <w:rFonts w:hint="default" w:ascii="Times New Roman" w:hAnsi="Times New Roman" w:eastAsia="宋体" w:cs="Times New Roman"/>
          <w:color w:val="auto"/>
          <w:sz w:val="24"/>
          <w:lang w:val="en-US" w:eastAsia="zh-CN"/>
        </w:rPr>
        <w:t>77.31</w:t>
      </w:r>
      <w:r>
        <w:rPr>
          <w:rFonts w:hint="default" w:ascii="Times New Roman" w:hAnsi="Times New Roman" w:eastAsia="宋体" w:cs="Times New Roman"/>
          <w:color w:val="auto"/>
          <w:sz w:val="24"/>
        </w:rPr>
        <w:t xml:space="preserve"> mg/L，比</w:t>
      </w:r>
      <w:r>
        <w:rPr>
          <w:rFonts w:hint="default" w:ascii="Times New Roman" w:hAnsi="Times New Roman" w:eastAsia="宋体" w:cs="Times New Roman"/>
          <w:color w:val="auto"/>
          <w:sz w:val="24"/>
          <w:lang w:val="en-US" w:eastAsia="zh-CN"/>
        </w:rPr>
        <w:t>1#控制断面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70.31</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控制断面处的</w:t>
      </w:r>
      <w:r>
        <w:rPr>
          <w:rFonts w:hint="default" w:ascii="Times New Roman" w:hAnsi="Times New Roman" w:eastAsia="宋体" w:cs="Times New Roman"/>
          <w:color w:val="auto"/>
          <w:sz w:val="24"/>
        </w:rPr>
        <w:t>CODcr浓度为</w:t>
      </w:r>
      <w:r>
        <w:rPr>
          <w:rFonts w:hint="default" w:ascii="Times New Roman" w:hAnsi="Times New Roman" w:eastAsia="宋体" w:cs="Times New Roman"/>
          <w:color w:val="auto"/>
          <w:sz w:val="24"/>
          <w:lang w:val="en-US" w:eastAsia="zh-CN"/>
        </w:rPr>
        <w:t>231.28</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增加了</w:t>
      </w:r>
      <w:r>
        <w:rPr>
          <w:rFonts w:hint="default" w:ascii="Times New Roman" w:hAnsi="Times New Roman" w:eastAsia="宋体" w:cs="Times New Roman"/>
          <w:color w:val="auto"/>
          <w:sz w:val="24"/>
          <w:lang w:val="en-US" w:eastAsia="zh-CN"/>
        </w:rPr>
        <w:t>214.58</w:t>
      </w:r>
      <w:r>
        <w:rPr>
          <w:rFonts w:hint="default" w:ascii="Times New Roman" w:hAnsi="Times New Roman" w:eastAsia="宋体" w:cs="Times New Roman"/>
          <w:color w:val="auto"/>
          <w:sz w:val="24"/>
        </w:rPr>
        <w:t>mg/L；BOD5浓度为</w:t>
      </w:r>
      <w:r>
        <w:rPr>
          <w:rFonts w:hint="default" w:ascii="Times New Roman" w:hAnsi="Times New Roman" w:eastAsia="宋体" w:cs="Times New Roman"/>
          <w:color w:val="auto"/>
          <w:sz w:val="24"/>
          <w:lang w:val="en-US" w:eastAsia="zh-CN"/>
        </w:rPr>
        <w:t>116.57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113.97</w:t>
      </w:r>
      <w:r>
        <w:rPr>
          <w:rFonts w:hint="default" w:ascii="Times New Roman" w:hAnsi="Times New Roman" w:eastAsia="宋体" w:cs="Times New Roman"/>
          <w:color w:val="auto"/>
          <w:sz w:val="24"/>
        </w:rPr>
        <w:t>mg/L；NH3-N浓度为</w:t>
      </w:r>
      <w:r>
        <w:rPr>
          <w:rFonts w:hint="default" w:ascii="Times New Roman" w:hAnsi="Times New Roman" w:eastAsia="宋体" w:cs="Times New Roman"/>
          <w:color w:val="auto"/>
          <w:sz w:val="24"/>
          <w:lang w:val="en-US" w:eastAsia="zh-CN"/>
        </w:rPr>
        <w:t>26.13</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25.808</w:t>
      </w:r>
      <w:r>
        <w:rPr>
          <w:rFonts w:hint="default" w:ascii="Times New Roman" w:hAnsi="Times New Roman" w:eastAsia="宋体" w:cs="Times New Roman"/>
          <w:color w:val="auto"/>
          <w:sz w:val="24"/>
        </w:rPr>
        <w:t>mg/L；TN浓度为</w:t>
      </w:r>
      <w:r>
        <w:rPr>
          <w:rFonts w:hint="default" w:ascii="Times New Roman" w:hAnsi="Times New Roman" w:eastAsia="宋体" w:cs="Times New Roman"/>
          <w:color w:val="auto"/>
          <w:sz w:val="24"/>
          <w:lang w:val="en-US" w:eastAsia="zh-CN"/>
        </w:rPr>
        <w:t>34.53</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33.615</w:t>
      </w:r>
      <w:r>
        <w:rPr>
          <w:rFonts w:hint="default" w:ascii="Times New Roman" w:hAnsi="Times New Roman" w:eastAsia="宋体" w:cs="Times New Roman"/>
          <w:color w:val="auto"/>
          <w:sz w:val="24"/>
        </w:rPr>
        <w:t>mg/L；TP浓度为</w:t>
      </w:r>
      <w:r>
        <w:rPr>
          <w:rFonts w:hint="default" w:ascii="Times New Roman" w:hAnsi="Times New Roman" w:eastAsia="宋体" w:cs="Times New Roman"/>
          <w:color w:val="auto"/>
          <w:sz w:val="24"/>
          <w:lang w:val="en-US" w:eastAsia="zh-CN"/>
        </w:rPr>
        <w:t>2.38</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2.22</w:t>
      </w:r>
      <w:r>
        <w:rPr>
          <w:rFonts w:hint="default" w:ascii="Times New Roman" w:hAnsi="Times New Roman" w:eastAsia="宋体" w:cs="Times New Roman"/>
          <w:color w:val="auto"/>
          <w:sz w:val="24"/>
        </w:rPr>
        <w:t>mg/L；SS浓度为</w:t>
      </w:r>
      <w:r>
        <w:rPr>
          <w:rFonts w:hint="default" w:ascii="Times New Roman" w:hAnsi="Times New Roman" w:eastAsia="宋体" w:cs="Times New Roman"/>
          <w:color w:val="auto"/>
          <w:sz w:val="24"/>
          <w:lang w:val="en-US" w:eastAsia="zh-CN"/>
        </w:rPr>
        <w:t>77.17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sz w:val="24"/>
          <w:lang w:val="en-US" w:eastAsia="zh-CN"/>
        </w:rPr>
        <w:t>2#控制断面</w:t>
      </w:r>
      <w:r>
        <w:rPr>
          <w:rFonts w:hint="default" w:ascii="Times New Roman" w:hAnsi="Times New Roman" w:eastAsia="宋体" w:cs="Times New Roman"/>
          <w:color w:val="auto"/>
          <w:sz w:val="24"/>
        </w:rPr>
        <w:t>背景值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69.17</w:t>
      </w:r>
      <w:r>
        <w:rPr>
          <w:rFonts w:hint="default" w:ascii="Times New Roman" w:hAnsi="Times New Roman" w:eastAsia="宋体" w:cs="Times New Roman"/>
          <w:color w:val="auto"/>
          <w:sz w:val="24"/>
        </w:rPr>
        <w:t>mg/L。</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因此，建设单位应加强日常安全管理和设备维护，杜绝事故排放情况的发生。另外，针对废污水非正常排放情况应制定相应的应急管理预案。</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default" w:ascii="Times New Roman" w:hAnsi="Times New Roman" w:eastAsia="宋体" w:cs="Times New Roman"/>
          <w:b/>
          <w:bCs/>
          <w:color w:val="auto"/>
          <w:sz w:val="24"/>
        </w:rPr>
      </w:pPr>
      <w:bookmarkStart w:id="65" w:name="_Toc21207"/>
      <w:r>
        <w:rPr>
          <w:rFonts w:hint="default" w:ascii="Times New Roman" w:hAnsi="Times New Roman" w:eastAsia="宋体" w:cs="Times New Roman"/>
          <w:b/>
          <w:bCs/>
          <w:color w:val="auto"/>
          <w:sz w:val="24"/>
        </w:rPr>
        <w:t>3.8 地表水环境影响评价</w:t>
      </w:r>
      <w:bookmarkEnd w:id="65"/>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3.8.1 出水达标可行性分析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本项目处理后的CODcr、TP、NH3-N达到</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标准，其余指标达到《城镇污水处理厂污染物排放标准》（GB18918-2002）一级A标准。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本项目采用A</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lang w:val="en-US" w:eastAsia="zh-CN"/>
        </w:rPr>
        <w:t>+BRM</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处理工艺，处理工艺应对 BOD5、CODcr、NH3-N、TP 、TN、SS等均具有较高的去除率。</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3-1</w:t>
      </w:r>
      <w:r>
        <w:rPr>
          <w:rFonts w:hint="default" w:ascii="Times New Roman" w:hAnsi="Times New Roman" w:eastAsia="宋体" w:cs="Times New Roman"/>
          <w:b/>
          <w:bCs/>
          <w:color w:val="auto"/>
          <w:sz w:val="24"/>
          <w:szCs w:val="32"/>
          <w:lang w:val="en-US" w:eastAsia="zh-CN"/>
        </w:rPr>
        <w:t>5  生活污水应急处理站</w:t>
      </w:r>
      <w:r>
        <w:rPr>
          <w:rFonts w:hint="default" w:ascii="Times New Roman" w:hAnsi="Times New Roman" w:eastAsia="宋体" w:cs="Times New Roman"/>
          <w:b/>
          <w:bCs/>
          <w:color w:val="auto"/>
          <w:sz w:val="24"/>
          <w:szCs w:val="32"/>
          <w:lang w:eastAsia="zh-CN"/>
        </w:rPr>
        <w:t>设计进、出水水质表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052"/>
        <w:gridCol w:w="1275"/>
        <w:gridCol w:w="1263"/>
        <w:gridCol w:w="979"/>
        <w:gridCol w:w="979"/>
        <w:gridCol w:w="979"/>
        <w:gridCol w:w="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7"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水质指标</w:t>
            </w:r>
          </w:p>
        </w:tc>
        <w:tc>
          <w:tcPr>
            <w:tcW w:w="566"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w:t>
            </w:r>
          </w:p>
        </w:tc>
        <w:tc>
          <w:tcPr>
            <w:tcW w:w="68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68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2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2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TP</w:t>
            </w:r>
          </w:p>
        </w:tc>
        <w:tc>
          <w:tcPr>
            <w:tcW w:w="527"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TN</w:t>
            </w:r>
          </w:p>
        </w:tc>
        <w:tc>
          <w:tcPr>
            <w:tcW w:w="528"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7"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进水</w:t>
            </w:r>
          </w:p>
        </w:tc>
        <w:tc>
          <w:tcPr>
            <w:tcW w:w="566"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6～9</w:t>
            </w:r>
          </w:p>
        </w:tc>
        <w:tc>
          <w:tcPr>
            <w:tcW w:w="1275"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330</w:t>
            </w:r>
          </w:p>
        </w:tc>
        <w:tc>
          <w:tcPr>
            <w:tcW w:w="12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169</w:t>
            </w:r>
          </w:p>
        </w:tc>
        <w:tc>
          <w:tcPr>
            <w:tcW w:w="9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109</w:t>
            </w:r>
          </w:p>
        </w:tc>
        <w:tc>
          <w:tcPr>
            <w:tcW w:w="9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3.4</w:t>
            </w:r>
          </w:p>
        </w:tc>
        <w:tc>
          <w:tcPr>
            <w:tcW w:w="9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50</w:t>
            </w:r>
          </w:p>
        </w:tc>
        <w:tc>
          <w:tcPr>
            <w:tcW w:w="98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7"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出水</w:t>
            </w:r>
          </w:p>
        </w:tc>
        <w:tc>
          <w:tcPr>
            <w:tcW w:w="566"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6～9</w:t>
            </w:r>
          </w:p>
        </w:tc>
        <w:tc>
          <w:tcPr>
            <w:tcW w:w="1275"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40</w:t>
            </w:r>
          </w:p>
        </w:tc>
        <w:tc>
          <w:tcPr>
            <w:tcW w:w="12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10</w:t>
            </w:r>
          </w:p>
        </w:tc>
        <w:tc>
          <w:tcPr>
            <w:tcW w:w="9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10</w:t>
            </w:r>
          </w:p>
        </w:tc>
        <w:tc>
          <w:tcPr>
            <w:tcW w:w="9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0.4</w:t>
            </w:r>
          </w:p>
        </w:tc>
        <w:tc>
          <w:tcPr>
            <w:tcW w:w="9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15</w:t>
            </w:r>
          </w:p>
        </w:tc>
        <w:tc>
          <w:tcPr>
            <w:tcW w:w="98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7"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去除率</w:t>
            </w:r>
          </w:p>
        </w:tc>
        <w:tc>
          <w:tcPr>
            <w:tcW w:w="566" w:type="pct"/>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75" w:type="dxa"/>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87.88</w:t>
            </w:r>
            <w:r>
              <w:rPr>
                <w:rFonts w:hint="default" w:ascii="Times New Roman" w:hAnsi="Times New Roman" w:eastAsia="宋体" w:cs="Times New Roman"/>
                <w:color w:val="auto"/>
                <w:sz w:val="21"/>
                <w:szCs w:val="21"/>
              </w:rPr>
              <w:t>%</w:t>
            </w:r>
          </w:p>
        </w:tc>
        <w:tc>
          <w:tcPr>
            <w:tcW w:w="1263" w:type="dxa"/>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94.08</w:t>
            </w:r>
            <w:r>
              <w:rPr>
                <w:rFonts w:hint="default" w:ascii="Times New Roman" w:hAnsi="Times New Roman" w:eastAsia="宋体" w:cs="Times New Roman"/>
                <w:color w:val="auto"/>
                <w:sz w:val="21"/>
                <w:szCs w:val="21"/>
              </w:rPr>
              <w:t>%</w:t>
            </w:r>
          </w:p>
        </w:tc>
        <w:tc>
          <w:tcPr>
            <w:tcW w:w="979" w:type="dxa"/>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90.83</w:t>
            </w:r>
            <w:r>
              <w:rPr>
                <w:rFonts w:hint="default" w:ascii="Times New Roman" w:hAnsi="Times New Roman" w:eastAsia="宋体" w:cs="Times New Roman"/>
                <w:color w:val="auto"/>
                <w:sz w:val="21"/>
                <w:szCs w:val="21"/>
              </w:rPr>
              <w:t>%</w:t>
            </w:r>
          </w:p>
        </w:tc>
        <w:tc>
          <w:tcPr>
            <w:tcW w:w="979" w:type="dxa"/>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88.24</w:t>
            </w:r>
            <w:r>
              <w:rPr>
                <w:rFonts w:hint="default" w:ascii="Times New Roman" w:hAnsi="Times New Roman" w:eastAsia="宋体" w:cs="Times New Roman"/>
                <w:color w:val="auto"/>
                <w:sz w:val="21"/>
                <w:szCs w:val="21"/>
              </w:rPr>
              <w:t>%</w:t>
            </w:r>
          </w:p>
        </w:tc>
        <w:tc>
          <w:tcPr>
            <w:tcW w:w="979" w:type="dxa"/>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70.00</w:t>
            </w:r>
            <w:r>
              <w:rPr>
                <w:rFonts w:hint="default" w:ascii="Times New Roman" w:hAnsi="Times New Roman" w:eastAsia="宋体" w:cs="Times New Roman"/>
                <w:color w:val="auto"/>
                <w:sz w:val="21"/>
                <w:szCs w:val="21"/>
              </w:rPr>
              <w:t>%</w:t>
            </w:r>
          </w:p>
        </w:tc>
        <w:tc>
          <w:tcPr>
            <w:tcW w:w="981" w:type="dxa"/>
            <w:tcBorders>
              <w:tl2br w:val="nil"/>
              <w:tr2bl w:val="nil"/>
            </w:tcBorders>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94.74</w:t>
            </w:r>
            <w:r>
              <w:rPr>
                <w:rFonts w:hint="default"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val="0"/>
        <w:autoSpaceDN w:val="0"/>
        <w:bidi w:val="0"/>
        <w:adjustRightInd/>
        <w:snapToGrid/>
        <w:spacing w:line="480" w:lineRule="exact"/>
        <w:textAlignment w:val="auto"/>
        <w:outlineLvl w:val="2"/>
        <w:rPr>
          <w:rFonts w:hint="default" w:ascii="Times New Roman" w:hAnsi="Times New Roman" w:eastAsia="宋体" w:cs="Times New Roman"/>
          <w:b/>
          <w:bCs/>
          <w:color w:val="auto"/>
          <w:sz w:val="24"/>
        </w:rPr>
      </w:pPr>
      <w:bookmarkStart w:id="66" w:name="_Toc17246"/>
      <w:r>
        <w:rPr>
          <w:rFonts w:hint="default" w:ascii="Times New Roman" w:hAnsi="Times New Roman" w:eastAsia="宋体" w:cs="Times New Roman"/>
          <w:b/>
          <w:bCs/>
          <w:color w:val="auto"/>
          <w:sz w:val="24"/>
        </w:rPr>
        <w:t>3.8.2 污染源排放量核算</w:t>
      </w:r>
      <w:bookmarkEnd w:id="66"/>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经核算，本项目污染源排放总量核算结果如表3-1</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表3-1</w:t>
      </w:r>
      <w:r>
        <w:rPr>
          <w:rFonts w:hint="default" w:ascii="Times New Roman" w:hAnsi="Times New Roman" w:eastAsia="宋体" w:cs="Times New Roman"/>
          <w:b/>
          <w:bCs/>
          <w:color w:val="auto"/>
          <w:sz w:val="24"/>
          <w:szCs w:val="32"/>
          <w:lang w:val="en-US" w:eastAsia="zh-CN"/>
        </w:rPr>
        <w:t xml:space="preserve">6   </w:t>
      </w:r>
      <w:r>
        <w:rPr>
          <w:rFonts w:hint="default" w:ascii="Times New Roman" w:hAnsi="Times New Roman" w:eastAsia="宋体" w:cs="Times New Roman"/>
          <w:b/>
          <w:bCs/>
          <w:color w:val="auto"/>
          <w:sz w:val="24"/>
          <w:szCs w:val="32"/>
          <w:lang w:eastAsia="zh-CN"/>
        </w:rPr>
        <w:t>污染源排放量核算表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60"/>
        <w:gridCol w:w="1802"/>
        <w:gridCol w:w="1802"/>
        <w:gridCol w:w="1504"/>
        <w:gridCol w:w="16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日处理能力（m³/d）</w:t>
            </w: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排污状况</w:t>
            </w: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浓度（mg/L）</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1802"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正常排放</w:t>
            </w: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0.438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1"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802"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04"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18"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10.95</w:t>
            </w:r>
          </w:p>
        </w:tc>
      </w:tr>
    </w:tbl>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2"/>
        <w:rPr>
          <w:rFonts w:hint="default" w:ascii="Times New Roman" w:hAnsi="Times New Roman" w:eastAsia="宋体" w:cs="Times New Roman"/>
          <w:b/>
          <w:bCs/>
          <w:color w:val="auto"/>
          <w:sz w:val="24"/>
        </w:rPr>
      </w:pPr>
      <w:bookmarkStart w:id="67" w:name="_Toc3127"/>
      <w:r>
        <w:rPr>
          <w:rFonts w:hint="default" w:ascii="Times New Roman" w:hAnsi="Times New Roman" w:eastAsia="宋体" w:cs="Times New Roman"/>
          <w:b/>
          <w:bCs/>
          <w:color w:val="auto"/>
          <w:sz w:val="24"/>
        </w:rPr>
        <w:t>3.8.3 总量控制</w:t>
      </w:r>
      <w:bookmarkEnd w:id="67"/>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本项目生活污水一并排入项目污水处理系统处理。经污水处理系统处理达标后的废水经</w:t>
      </w:r>
      <w:r>
        <w:rPr>
          <w:rFonts w:hint="default" w:ascii="Times New Roman" w:hAnsi="Times New Roman" w:eastAsia="宋体" w:cs="Times New Roman"/>
          <w:color w:val="auto"/>
          <w:sz w:val="24"/>
          <w:szCs w:val="32"/>
          <w:lang w:eastAsia="zh-CN"/>
        </w:rPr>
        <w:t>排水口</w:t>
      </w:r>
      <w:r>
        <w:rPr>
          <w:rFonts w:hint="default" w:ascii="Times New Roman" w:hAnsi="Times New Roman" w:eastAsia="宋体" w:cs="Times New Roman"/>
          <w:color w:val="auto"/>
          <w:sz w:val="24"/>
          <w:szCs w:val="32"/>
        </w:rPr>
        <w:t>排入滹沱河。项目运营过程中会产生氨气、硫化氢等恶臭气体</w:t>
      </w:r>
      <w:r>
        <w:rPr>
          <w:rFonts w:hint="default" w:ascii="Times New Roman" w:hAnsi="Times New Roman" w:eastAsia="宋体" w:cs="Times New Roman"/>
          <w:color w:val="auto"/>
          <w:sz w:val="24"/>
          <w:szCs w:val="32"/>
          <w:lang w:eastAsia="zh-CN"/>
        </w:rPr>
        <w:t>的</w:t>
      </w:r>
      <w:r>
        <w:rPr>
          <w:rFonts w:hint="default" w:ascii="Times New Roman" w:hAnsi="Times New Roman" w:eastAsia="宋体" w:cs="Times New Roman"/>
          <w:color w:val="auto"/>
          <w:sz w:val="24"/>
          <w:szCs w:val="32"/>
        </w:rPr>
        <w:t>排放。</w:t>
      </w:r>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24"/>
          <w:lang w:val="zh-CN"/>
        </w:rPr>
        <w:t>根据山西省环境保护厅晋环发【2015】25 号文关于印发《山西省环境保护厅建设项目主要污染物排放总量核定办法》：“城镇污水处理厂及集中式工业污</w:t>
      </w:r>
      <w:r>
        <w:rPr>
          <w:rFonts w:hint="default"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lang w:val="zh-CN"/>
        </w:rPr>
        <w:t>处理厂不需核定污水污染物排放总量指标，按照负荷率和出水标准对其运行情况进行考核。”本项目为城镇污水处理厂，无需核定和申请水污染物排放总量指标</w:t>
      </w:r>
      <w:r>
        <w:rPr>
          <w:rFonts w:hint="default" w:ascii="Times New Roman" w:hAnsi="Times New Roman" w:eastAsia="宋体" w:cs="Times New Roman"/>
          <w:color w:val="auto"/>
          <w:sz w:val="24"/>
          <w:szCs w:val="32"/>
        </w:rPr>
        <w:t>。</w:t>
      </w:r>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24"/>
          <w:lang w:val="zh-CN"/>
        </w:rPr>
        <w:t>本评价仅给出中总量控制指标建议值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CODcr</w:t>
      </w:r>
      <w:r>
        <w:rPr>
          <w:rFonts w:hint="default" w:ascii="Times New Roman" w:hAnsi="Times New Roman" w:eastAsia="宋体" w:cs="Times New Roman"/>
          <w:color w:val="auto"/>
          <w:sz w:val="24"/>
          <w:szCs w:val="24"/>
          <w:lang w:val="en-US" w:eastAsia="zh-CN"/>
        </w:rPr>
        <w:t>44.38t/a、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2.19t/a</w:t>
      </w:r>
    </w:p>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2"/>
        <w:rPr>
          <w:rFonts w:hint="default" w:ascii="Times New Roman" w:hAnsi="Times New Roman" w:eastAsia="宋体" w:cs="Times New Roman"/>
          <w:color w:val="auto"/>
          <w:sz w:val="24"/>
        </w:rPr>
      </w:pPr>
      <w:bookmarkStart w:id="68" w:name="_Toc24789"/>
      <w:r>
        <w:rPr>
          <w:rFonts w:hint="default" w:ascii="Times New Roman" w:hAnsi="Times New Roman" w:eastAsia="宋体" w:cs="Times New Roman"/>
          <w:b/>
          <w:bCs/>
          <w:color w:val="auto"/>
          <w:sz w:val="24"/>
        </w:rPr>
        <w:t>3.8.4 施工期水环境影响评价</w:t>
      </w:r>
      <w:bookmarkEnd w:id="68"/>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施工期废水主要来源为施工废水和生活污水及闭水试验废水，本项目为新建项目，施工期废水建临时沉淀池，污水经收集后进入沉淀池后回用于场地洒水降尘，不外排；</w:t>
      </w:r>
      <w:r>
        <w:rPr>
          <w:rFonts w:hint="default" w:ascii="Times New Roman" w:hAnsi="Times New Roman" w:eastAsia="宋体" w:cs="Times New Roman"/>
          <w:snapToGrid w:val="0"/>
          <w:color w:val="auto"/>
          <w:sz w:val="24"/>
        </w:rPr>
        <w:t>生活污水利用附近瑞迪航空</w:t>
      </w:r>
      <w:r>
        <w:rPr>
          <w:rFonts w:hint="default" w:ascii="Times New Roman" w:hAnsi="Times New Roman" w:eastAsia="宋体" w:cs="Times New Roman"/>
          <w:snapToGrid w:val="0"/>
          <w:color w:val="auto"/>
          <w:sz w:val="24"/>
          <w:lang w:eastAsia="zh-CN"/>
        </w:rPr>
        <w:t>迪</w:t>
      </w:r>
      <w:r>
        <w:rPr>
          <w:rFonts w:hint="default" w:ascii="Times New Roman" w:hAnsi="Times New Roman" w:eastAsia="宋体" w:cs="Times New Roman"/>
          <w:snapToGrid w:val="0"/>
          <w:color w:val="auto"/>
          <w:sz w:val="24"/>
        </w:rPr>
        <w:t>旱厕收集，不外排</w:t>
      </w:r>
      <w:r>
        <w:rPr>
          <w:rFonts w:hint="default" w:ascii="Times New Roman" w:hAnsi="Times New Roman" w:eastAsia="宋体" w:cs="Times New Roman"/>
          <w:color w:val="auto"/>
          <w:sz w:val="24"/>
        </w:rPr>
        <w:t>，只要加强管理，不会对周围环境产生影响。因此本次评价主要进行运营期地表水环境影响评价。</w:t>
      </w:r>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运营期废污水主要污染物有BOD、COD、NH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-N、TP、TN、SS等。</w:t>
      </w:r>
    </w:p>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2"/>
        <w:rPr>
          <w:rFonts w:hint="default" w:ascii="Times New Roman" w:hAnsi="Times New Roman" w:eastAsia="宋体" w:cs="Times New Roman"/>
          <w:color w:val="auto"/>
          <w:sz w:val="24"/>
        </w:rPr>
      </w:pPr>
      <w:bookmarkStart w:id="69" w:name="_Toc6702"/>
      <w:r>
        <w:rPr>
          <w:rFonts w:hint="default" w:ascii="Times New Roman" w:hAnsi="Times New Roman" w:eastAsia="宋体" w:cs="Times New Roman"/>
          <w:b/>
          <w:bCs/>
          <w:color w:val="auto"/>
          <w:sz w:val="24"/>
        </w:rPr>
        <w:t>3.8.5 运营期水环境影响评价</w:t>
      </w:r>
      <w:bookmarkEnd w:id="69"/>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通过对运营期地表水环境影响预测计算。枯水期排放的COD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、TP、NH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-N能够达到</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标准，其余指标达到《城镇污水处理厂污染物排放标准》（GB18918-2002）一级A标准。</w:t>
      </w:r>
    </w:p>
    <w:p>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正常情况下，废水达标排放后对滹沱河影响较小，污染物经对均匀混合后比</w:t>
      </w:r>
      <w:r>
        <w:rPr>
          <w:rFonts w:hint="default" w:ascii="Times New Roman" w:hAnsi="Times New Roman" w:eastAsia="宋体" w:cs="Times New Roman"/>
          <w:color w:val="auto"/>
          <w:sz w:val="24"/>
          <w:lang w:eastAsia="zh-CN"/>
        </w:rPr>
        <w:t>超出现有污水处理厂处理能力后生活污水直排的</w:t>
      </w:r>
      <w:r>
        <w:rPr>
          <w:rFonts w:hint="default" w:ascii="Times New Roman" w:hAnsi="Times New Roman" w:eastAsia="宋体" w:cs="Times New Roman"/>
          <w:color w:val="auto"/>
          <w:sz w:val="24"/>
        </w:rPr>
        <w:t>浓度降低，因此本项目出水将进一步改善滹沱河的水体状况。本项目事故排放对排放口附近滹沱河水质影响较大，对废污水非正常排放情况应制定相应的应急管理预案。</w:t>
      </w:r>
    </w:p>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1"/>
        <w:rPr>
          <w:rFonts w:hint="default" w:ascii="Times New Roman" w:hAnsi="Times New Roman" w:eastAsia="宋体" w:cs="Times New Roman"/>
          <w:b/>
          <w:bCs/>
          <w:color w:val="auto"/>
          <w:sz w:val="24"/>
        </w:rPr>
      </w:pPr>
      <w:bookmarkStart w:id="70" w:name="_Toc14969"/>
      <w:r>
        <w:rPr>
          <w:rFonts w:hint="default" w:ascii="Times New Roman" w:hAnsi="Times New Roman" w:eastAsia="宋体" w:cs="Times New Roman"/>
          <w:b/>
          <w:bCs/>
          <w:color w:val="auto"/>
          <w:sz w:val="24"/>
        </w:rPr>
        <w:t>3.9 环境保护措施与监测计划</w:t>
      </w:r>
      <w:bookmarkEnd w:id="70"/>
    </w:p>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2"/>
        <w:rPr>
          <w:rFonts w:hint="default" w:ascii="Times New Roman" w:hAnsi="Times New Roman" w:eastAsia="宋体" w:cs="Times New Roman"/>
          <w:color w:val="auto"/>
          <w:sz w:val="24"/>
        </w:rPr>
      </w:pPr>
      <w:bookmarkStart w:id="71" w:name="_Toc24265"/>
      <w:r>
        <w:rPr>
          <w:rFonts w:hint="default" w:ascii="Times New Roman" w:hAnsi="Times New Roman" w:eastAsia="宋体" w:cs="Times New Roman"/>
          <w:b/>
          <w:bCs/>
          <w:color w:val="auto"/>
          <w:sz w:val="24"/>
        </w:rPr>
        <w:t>3.9.1 施工期环保措施</w:t>
      </w:r>
      <w:bookmarkEnd w:id="71"/>
    </w:p>
    <w:p>
      <w:pPr>
        <w:keepNext w:val="0"/>
        <w:keepLines w:val="0"/>
        <w:pageBreakBefore w:val="0"/>
        <w:widowControl w:val="0"/>
        <w:numPr>
          <w:ilvl w:val="0"/>
          <w:numId w:val="4"/>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工程施工期间，施工单位应对地面水的排档进行组织设计，严禁乱排、乱流污染环境。</w:t>
      </w:r>
    </w:p>
    <w:p>
      <w:pPr>
        <w:keepNext w:val="0"/>
        <w:keepLines w:val="0"/>
        <w:pageBreakBefore w:val="0"/>
        <w:widowControl w:val="0"/>
        <w:numPr>
          <w:ilvl w:val="0"/>
          <w:numId w:val="4"/>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施工时，要尽量减少弃土，做好各项排水、截水、防止水土流失的设计，做好必要的截水沟和沉砂池，防止雨天水土流失污染附近水体。</w:t>
      </w:r>
    </w:p>
    <w:p>
      <w:pPr>
        <w:keepNext w:val="0"/>
        <w:keepLines w:val="0"/>
        <w:pageBreakBefore w:val="0"/>
        <w:widowControl w:val="0"/>
        <w:numPr>
          <w:ilvl w:val="0"/>
          <w:numId w:val="4"/>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施工中，应合理安排施工计划、施工程序，协调好各个施工步骤。雨季尽量减少地面坡度，减少开挖面，并争取土料随挖随运，减少推土裸土的暴露时间，以避免受降雨的直接冲刷，在暴雨期，还应采取应急措施，尽量用覆盖物覆盖新开挖的土体，防止冲刷。</w:t>
      </w:r>
    </w:p>
    <w:p>
      <w:pPr>
        <w:keepNext w:val="0"/>
        <w:keepLines w:val="0"/>
        <w:pageBreakBefore w:val="0"/>
        <w:widowControl w:val="0"/>
        <w:numPr>
          <w:ilvl w:val="0"/>
          <w:numId w:val="4"/>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sz w:val="24"/>
        </w:rPr>
        <w:t>以及道路施工场地，争取做到土料随填随压，不留松土。</w:t>
      </w:r>
    </w:p>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2"/>
        <w:rPr>
          <w:rFonts w:hint="default" w:ascii="Times New Roman" w:hAnsi="Times New Roman" w:eastAsia="宋体" w:cs="Times New Roman"/>
          <w:color w:val="auto"/>
          <w:sz w:val="24"/>
        </w:rPr>
      </w:pPr>
      <w:bookmarkStart w:id="72" w:name="_Toc25523"/>
      <w:r>
        <w:rPr>
          <w:rFonts w:hint="default" w:ascii="Times New Roman" w:hAnsi="Times New Roman" w:eastAsia="宋体" w:cs="Times New Roman"/>
          <w:b/>
          <w:bCs/>
          <w:color w:val="auto"/>
          <w:sz w:val="24"/>
        </w:rPr>
        <w:t>3.9.2 运营期环保措施</w:t>
      </w:r>
      <w:bookmarkEnd w:id="72"/>
    </w:p>
    <w:p>
      <w:pPr>
        <w:keepNext w:val="0"/>
        <w:keepLines w:val="0"/>
        <w:pageBreakBefore w:val="0"/>
        <w:widowControl w:val="0"/>
        <w:numPr>
          <w:ilvl w:val="0"/>
          <w:numId w:val="5"/>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加强污水处理设施的运行管理和维护，健全各类规章制度；</w:t>
      </w:r>
    </w:p>
    <w:p>
      <w:pPr>
        <w:keepNext w:val="0"/>
        <w:keepLines w:val="0"/>
        <w:pageBreakBefore w:val="0"/>
        <w:widowControl w:val="0"/>
        <w:numPr>
          <w:ilvl w:val="0"/>
          <w:numId w:val="5"/>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加强进出水水质的自动检测仪器仪表的维护和检修，并定时与实验室化验数据对比和检验，保证数据的准确性和可靠性；</w:t>
      </w:r>
    </w:p>
    <w:p>
      <w:pPr>
        <w:keepNext w:val="0"/>
        <w:keepLines w:val="0"/>
        <w:pageBreakBefore w:val="0"/>
        <w:widowControl w:val="0"/>
        <w:numPr>
          <w:ilvl w:val="0"/>
          <w:numId w:val="5"/>
        </w:numPr>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依据《山西省入河排污口监督管理实施细则（试行）》，对废水排放口进行规范化管理；</w:t>
      </w:r>
    </w:p>
    <w:p>
      <w:pPr>
        <w:keepNext w:val="0"/>
        <w:keepLines w:val="0"/>
        <w:pageBreakBefore w:val="0"/>
        <w:widowControl w:val="0"/>
        <w:kinsoku/>
        <w:wordWrap/>
        <w:overflowPunct/>
        <w:topLinePunct w:val="0"/>
        <w:autoSpaceDE w:val="0"/>
        <w:autoSpaceDN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（4）严格把关排水口排放水质，确保出水水质达到要求标准。</w:t>
      </w:r>
    </w:p>
    <w:p>
      <w:pPr>
        <w:keepNext w:val="0"/>
        <w:keepLines w:val="0"/>
        <w:pageBreakBefore w:val="0"/>
        <w:widowControl w:val="0"/>
        <w:kinsoku/>
        <w:wordWrap/>
        <w:overflowPunct/>
        <w:topLinePunct w:val="0"/>
        <w:autoSpaceDE w:val="0"/>
        <w:autoSpaceDN w:val="0"/>
        <w:bidi w:val="0"/>
        <w:adjustRightInd/>
        <w:snapToGrid/>
        <w:spacing w:line="480" w:lineRule="exact"/>
        <w:ind w:left="0"/>
        <w:textAlignment w:val="auto"/>
        <w:outlineLvl w:val="2"/>
        <w:rPr>
          <w:rFonts w:hint="default" w:ascii="Times New Roman" w:hAnsi="Times New Roman" w:eastAsia="宋体" w:cs="Times New Roman"/>
          <w:b/>
          <w:bCs/>
          <w:color w:val="auto"/>
          <w:sz w:val="24"/>
        </w:rPr>
      </w:pPr>
      <w:bookmarkStart w:id="73" w:name="_Toc15124"/>
      <w:r>
        <w:rPr>
          <w:rFonts w:hint="default" w:ascii="Times New Roman" w:hAnsi="Times New Roman" w:eastAsia="宋体" w:cs="Times New Roman"/>
          <w:b/>
          <w:bCs/>
          <w:color w:val="auto"/>
          <w:sz w:val="24"/>
        </w:rPr>
        <w:t>3.9.3 水质监测计划</w:t>
      </w:r>
      <w:bookmarkEnd w:id="73"/>
    </w:p>
    <w:p>
      <w:pPr>
        <w:keepNext w:val="0"/>
        <w:keepLines w:val="0"/>
        <w:pageBreakBefore w:val="0"/>
        <w:widowControl w:val="0"/>
        <w:kinsoku/>
        <w:wordWrap/>
        <w:overflowPunct/>
        <w:topLinePunct w:val="0"/>
        <w:bidi w:val="0"/>
        <w:adjustRightInd/>
        <w:snapToGrid/>
        <w:spacing w:line="48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切实控制本项目治理设施的有效运行和“达标排放”，参照《污水综合排放标准》新（改、扩）建单位和现有单位安装水污染物排放自动监控设备的要求，按有关法律法规和《污染源自动监控管理办法》的规定执行；城镇生活污水处理设施排污口必须安装水温、pH、COD、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-N、TP、流量指标的自动监控装置。制定如下环境监测计划。水质监测计划见表3-1</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3-1</w:t>
      </w:r>
      <w:r>
        <w:rPr>
          <w:rFonts w:hint="default" w:ascii="Times New Roman" w:hAnsi="Times New Roman" w:eastAsia="宋体" w:cs="Times New Roman"/>
          <w:b/>
          <w:bCs/>
          <w:color w:val="auto"/>
          <w:sz w:val="24"/>
          <w:szCs w:val="32"/>
          <w:lang w:val="en-US" w:eastAsia="zh-CN"/>
        </w:rPr>
        <w:t>7</w:t>
      </w:r>
      <w:r>
        <w:rPr>
          <w:rFonts w:hint="default" w:ascii="Times New Roman" w:hAnsi="Times New Roman" w:eastAsia="宋体" w:cs="Times New Roman"/>
          <w:b/>
          <w:bCs/>
          <w:color w:val="auto"/>
          <w:sz w:val="24"/>
          <w:szCs w:val="32"/>
          <w:lang w:eastAsia="zh-CN"/>
        </w:rPr>
        <w:t xml:space="preserve">  水环境质量监测计划表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2913"/>
        <w:gridCol w:w="3422"/>
        <w:gridCol w:w="868"/>
        <w:gridCol w:w="14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91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监测位置</w:t>
            </w:r>
          </w:p>
        </w:tc>
        <w:tc>
          <w:tcPr>
            <w:tcW w:w="3422"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868"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测点数</w:t>
            </w:r>
          </w:p>
        </w:tc>
        <w:tc>
          <w:tcPr>
            <w:tcW w:w="1415"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91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进水口、出水口</w:t>
            </w:r>
          </w:p>
        </w:tc>
        <w:tc>
          <w:tcPr>
            <w:tcW w:w="3422"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、COD、氨氮、总磷、总氮、流量、水温</w:t>
            </w:r>
          </w:p>
        </w:tc>
        <w:tc>
          <w:tcPr>
            <w:tcW w:w="868"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15"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连续在线监测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8"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913"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排水口上游500m的滹沱河断面、下游500m、下游1500m的滹沱河断面</w:t>
            </w:r>
          </w:p>
        </w:tc>
        <w:tc>
          <w:tcPr>
            <w:tcW w:w="3422"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pH、SS、COD、BOD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、氨氮、总磷、总氮、硫化物、挥发酚、氰化物、石油类、氟化物、水温、流量</w:t>
            </w:r>
          </w:p>
        </w:tc>
        <w:tc>
          <w:tcPr>
            <w:tcW w:w="868"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15" w:type="dxa"/>
            <w:tcBorders>
              <w:tl2br w:val="nil"/>
              <w:tr2bl w:val="nil"/>
            </w:tcBorders>
            <w:vAlign w:val="center"/>
          </w:tcPr>
          <w:p>
            <w:pPr>
              <w:autoSpaceDE w:val="0"/>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r>
    </w:tbl>
    <w:p>
      <w:pPr>
        <w:keepNext w:val="0"/>
        <w:keepLines w:val="0"/>
        <w:pageBreakBefore w:val="0"/>
        <w:widowControl w:val="0"/>
        <w:tabs>
          <w:tab w:val="left" w:pos="312"/>
        </w:tabs>
        <w:kinsoku/>
        <w:wordWrap/>
        <w:overflowPunct/>
        <w:topLinePunct w:val="0"/>
        <w:autoSpaceDE w:val="0"/>
        <w:autoSpaceDN w:val="0"/>
        <w:bidi w:val="0"/>
        <w:adjustRightInd/>
        <w:snapToGrid/>
        <w:spacing w:line="480" w:lineRule="exact"/>
        <w:textAlignment w:val="auto"/>
        <w:outlineLvl w:val="1"/>
        <w:rPr>
          <w:rFonts w:hint="default" w:ascii="Times New Roman" w:hAnsi="Times New Roman" w:eastAsia="宋体" w:cs="Times New Roman"/>
          <w:b/>
          <w:bCs/>
          <w:color w:val="auto"/>
          <w:sz w:val="24"/>
        </w:rPr>
      </w:pPr>
      <w:bookmarkStart w:id="74" w:name="_Toc3972"/>
      <w:r>
        <w:rPr>
          <w:rFonts w:hint="default" w:ascii="Times New Roman" w:hAnsi="Times New Roman" w:eastAsia="宋体" w:cs="Times New Roman"/>
          <w:b/>
          <w:bCs/>
          <w:color w:val="auto"/>
          <w:sz w:val="24"/>
        </w:rPr>
        <w:t>3.10 地表水环境影响评价结论</w:t>
      </w:r>
      <w:bookmarkEnd w:id="74"/>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本项目生产过程中产生的污水可采取针对性防治措施，确保污染物达标排放，最大限度避免污染环境。</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项目运营后，废水排放量3000m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/d，处理后的COD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、TP、NH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-N达到</w:t>
      </w:r>
      <w:r>
        <w:rPr>
          <w:rFonts w:hint="default" w:ascii="Times New Roman" w:hAnsi="Times New Roman" w:eastAsia="宋体" w:cs="Times New Roman"/>
          <w:color w:val="auto"/>
          <w:sz w:val="24"/>
          <w:lang w:val="en-US" w:eastAsia="zh-CN"/>
        </w:rPr>
        <w:t>《山西省地方标准污水综合排放标准》（DB14/1928-2019）中表2</w:t>
      </w:r>
      <w:r>
        <w:rPr>
          <w:rFonts w:hint="default" w:ascii="Times New Roman" w:hAnsi="Times New Roman" w:eastAsia="宋体" w:cs="Times New Roman"/>
          <w:color w:val="auto"/>
          <w:sz w:val="24"/>
        </w:rPr>
        <w:t>标准，其余指标达到《城镇污水处理厂污染物排放标准》（GB18918-2002）一级A标准。排放量CODcr为 0.044t/a、BOD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为0.011t/a、NH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-N为0.002t/a、TP为0.00044t/a、TN为0.016t/a、SS为0.011t/s。</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项目正常运行时，运用零维模型进行计算，项目正常运行时，污水达标排放后经均匀混合，</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控制断面处的</w:t>
      </w:r>
      <w:r>
        <w:rPr>
          <w:rFonts w:hint="default" w:ascii="Times New Roman" w:hAnsi="Times New Roman" w:eastAsia="宋体" w:cs="Times New Roman"/>
          <w:color w:val="auto"/>
          <w:sz w:val="24"/>
        </w:rPr>
        <w:t>COD</w:t>
      </w:r>
      <w:r>
        <w:rPr>
          <w:rFonts w:hint="default" w:ascii="Times New Roman" w:hAnsi="Times New Roman" w:eastAsia="宋体" w:cs="Times New Roman"/>
          <w:color w:val="auto"/>
          <w:sz w:val="24"/>
          <w:szCs w:val="24"/>
        </w:rPr>
        <w:t>cr</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32.45</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增加了</w:t>
      </w:r>
      <w:r>
        <w:rPr>
          <w:rFonts w:hint="default" w:ascii="Times New Roman" w:hAnsi="Times New Roman" w:eastAsia="宋体" w:cs="Times New Roman"/>
          <w:color w:val="auto"/>
          <w:sz w:val="24"/>
          <w:lang w:val="en-US" w:eastAsia="zh-CN"/>
        </w:rPr>
        <w:t>16.75</w:t>
      </w:r>
      <w:r>
        <w:rPr>
          <w:rFonts w:hint="default" w:ascii="Times New Roman" w:hAnsi="Times New Roman" w:eastAsia="宋体" w:cs="Times New Roman"/>
          <w:color w:val="auto"/>
          <w:sz w:val="24"/>
        </w:rPr>
        <w:t>mg/L；BOD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7.61</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5.31</w:t>
      </w:r>
      <w:r>
        <w:rPr>
          <w:rFonts w:hint="default" w:ascii="Times New Roman" w:hAnsi="Times New Roman" w:eastAsia="宋体" w:cs="Times New Roman"/>
          <w:color w:val="auto"/>
          <w:sz w:val="24"/>
        </w:rPr>
        <w:t>mg/L；NH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-N浓度为</w:t>
      </w:r>
      <w:r>
        <w:rPr>
          <w:rFonts w:hint="default" w:ascii="Times New Roman" w:hAnsi="Times New Roman" w:eastAsia="宋体" w:cs="Times New Roman"/>
          <w:color w:val="auto"/>
          <w:sz w:val="24"/>
          <w:lang w:val="en-US" w:eastAsia="zh-CN"/>
        </w:rPr>
        <w:t>1.47</w:t>
      </w:r>
      <w:r>
        <w:rPr>
          <w:rFonts w:hint="default" w:ascii="Times New Roman" w:hAnsi="Times New Roman" w:eastAsia="宋体" w:cs="Times New Roman"/>
          <w:color w:val="auto"/>
          <w:sz w:val="24"/>
        </w:rPr>
        <w:t xml:space="preserve"> 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1.16</w:t>
      </w:r>
      <w:r>
        <w:rPr>
          <w:rFonts w:hint="default" w:ascii="Times New Roman" w:hAnsi="Times New Roman" w:eastAsia="宋体" w:cs="Times New Roman"/>
          <w:color w:val="auto"/>
          <w:sz w:val="24"/>
        </w:rPr>
        <w:t>mg/L；TN浓度为</w:t>
      </w:r>
      <w:r>
        <w:rPr>
          <w:rFonts w:hint="default" w:ascii="Times New Roman" w:hAnsi="Times New Roman" w:eastAsia="宋体" w:cs="Times New Roman"/>
          <w:color w:val="auto"/>
          <w:sz w:val="24"/>
          <w:lang w:val="en-US" w:eastAsia="zh-CN"/>
        </w:rPr>
        <w:t>10.63</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9.703</w:t>
      </w:r>
      <w:r>
        <w:rPr>
          <w:rFonts w:hint="default" w:ascii="Times New Roman" w:hAnsi="Times New Roman" w:eastAsia="宋体" w:cs="Times New Roman"/>
          <w:color w:val="auto"/>
          <w:sz w:val="24"/>
        </w:rPr>
        <w:t>mg/L；TP浓度为</w:t>
      </w:r>
      <w:r>
        <w:rPr>
          <w:rFonts w:hint="default" w:ascii="Times New Roman" w:hAnsi="Times New Roman" w:eastAsia="宋体" w:cs="Times New Roman"/>
          <w:color w:val="auto"/>
          <w:sz w:val="24"/>
          <w:lang w:val="en-US" w:eastAsia="zh-CN"/>
        </w:rPr>
        <w:t>0.33</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0.16</w:t>
      </w:r>
      <w:r>
        <w:rPr>
          <w:rFonts w:hint="default" w:ascii="Times New Roman" w:hAnsi="Times New Roman" w:eastAsia="宋体" w:cs="Times New Roman"/>
          <w:color w:val="auto"/>
          <w:sz w:val="24"/>
        </w:rPr>
        <w:t>mg/L；SS浓度为</w:t>
      </w:r>
      <w:r>
        <w:rPr>
          <w:rFonts w:hint="default" w:ascii="Times New Roman" w:hAnsi="Times New Roman" w:eastAsia="宋体" w:cs="Times New Roman"/>
          <w:color w:val="auto"/>
          <w:sz w:val="24"/>
          <w:lang w:val="en-US" w:eastAsia="zh-CN"/>
        </w:rPr>
        <w:t>9.07</w:t>
      </w:r>
      <w:r>
        <w:rPr>
          <w:rFonts w:hint="default" w:ascii="Times New Roman" w:hAnsi="Times New Roman" w:eastAsia="宋体" w:cs="Times New Roman"/>
          <w:color w:val="auto"/>
          <w:sz w:val="24"/>
        </w:rPr>
        <w:t xml:space="preserve"> mg/L，比</w:t>
      </w:r>
      <w:r>
        <w:rPr>
          <w:rFonts w:hint="default" w:ascii="Times New Roman" w:hAnsi="Times New Roman" w:eastAsia="宋体" w:cs="Times New Roman"/>
          <w:color w:val="auto"/>
          <w:kern w:val="0"/>
          <w:sz w:val="24"/>
          <w:lang w:val="en-US" w:eastAsia="zh-CN" w:bidi="ar"/>
        </w:rPr>
        <w:t>1#控制断面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2.07</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控制断面处的</w:t>
      </w:r>
      <w:r>
        <w:rPr>
          <w:rFonts w:hint="default" w:ascii="Times New Roman" w:hAnsi="Times New Roman" w:eastAsia="宋体" w:cs="Times New Roman"/>
          <w:color w:val="auto"/>
          <w:sz w:val="24"/>
        </w:rPr>
        <w:t>COD</w:t>
      </w:r>
      <w:r>
        <w:rPr>
          <w:rFonts w:hint="default" w:ascii="Times New Roman" w:hAnsi="Times New Roman" w:eastAsia="宋体" w:cs="Times New Roman"/>
          <w:color w:val="auto"/>
          <w:sz w:val="24"/>
          <w:szCs w:val="24"/>
        </w:rPr>
        <w:t>cr</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32.66</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增加了</w:t>
      </w:r>
      <w:r>
        <w:rPr>
          <w:rFonts w:hint="default" w:ascii="Times New Roman" w:hAnsi="Times New Roman" w:eastAsia="宋体" w:cs="Times New Roman"/>
          <w:color w:val="auto"/>
          <w:sz w:val="24"/>
          <w:lang w:val="en-US" w:eastAsia="zh-CN"/>
        </w:rPr>
        <w:t>15.96</w:t>
      </w:r>
      <w:r>
        <w:rPr>
          <w:rFonts w:hint="default" w:ascii="Times New Roman" w:hAnsi="Times New Roman" w:eastAsia="宋体" w:cs="Times New Roman"/>
          <w:color w:val="auto"/>
          <w:sz w:val="24"/>
        </w:rPr>
        <w:t>mg/L；BOD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浓度为</w:t>
      </w:r>
      <w:r>
        <w:rPr>
          <w:rFonts w:hint="default" w:ascii="Times New Roman" w:hAnsi="Times New Roman" w:eastAsia="宋体" w:cs="Times New Roman"/>
          <w:color w:val="auto"/>
          <w:sz w:val="24"/>
          <w:lang w:val="en-US" w:eastAsia="zh-CN"/>
        </w:rPr>
        <w:t>7.67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5.07</w:t>
      </w:r>
      <w:r>
        <w:rPr>
          <w:rFonts w:hint="default" w:ascii="Times New Roman" w:hAnsi="Times New Roman" w:eastAsia="宋体" w:cs="Times New Roman"/>
          <w:color w:val="auto"/>
          <w:sz w:val="24"/>
        </w:rPr>
        <w:t>mg/L；NH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-N浓度为</w:t>
      </w:r>
      <w:r>
        <w:rPr>
          <w:rFonts w:hint="default" w:ascii="Times New Roman" w:hAnsi="Times New Roman" w:eastAsia="宋体" w:cs="Times New Roman"/>
          <w:color w:val="auto"/>
          <w:sz w:val="24"/>
          <w:lang w:val="en-US" w:eastAsia="zh-CN"/>
        </w:rPr>
        <w:t>1.47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1.148</w:t>
      </w:r>
      <w:r>
        <w:rPr>
          <w:rFonts w:hint="default" w:ascii="Times New Roman" w:hAnsi="Times New Roman" w:eastAsia="宋体" w:cs="Times New Roman"/>
          <w:color w:val="auto"/>
          <w:sz w:val="24"/>
        </w:rPr>
        <w:t>mg/L；TN浓度为</w:t>
      </w:r>
      <w:r>
        <w:rPr>
          <w:rFonts w:hint="default" w:ascii="Times New Roman" w:hAnsi="Times New Roman" w:eastAsia="宋体" w:cs="Times New Roman"/>
          <w:color w:val="auto"/>
          <w:sz w:val="24"/>
          <w:lang w:val="en-US" w:eastAsia="zh-CN"/>
        </w:rPr>
        <w:t>10.56</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9.645</w:t>
      </w:r>
      <w:r>
        <w:rPr>
          <w:rFonts w:hint="default" w:ascii="Times New Roman" w:hAnsi="Times New Roman" w:eastAsia="宋体" w:cs="Times New Roman"/>
          <w:color w:val="auto"/>
          <w:sz w:val="24"/>
        </w:rPr>
        <w:t>mg/L；TP浓度为</w:t>
      </w:r>
      <w:r>
        <w:rPr>
          <w:rFonts w:hint="default" w:ascii="Times New Roman" w:hAnsi="Times New Roman" w:eastAsia="宋体" w:cs="Times New Roman"/>
          <w:color w:val="auto"/>
          <w:sz w:val="24"/>
          <w:lang w:val="en-US" w:eastAsia="zh-CN"/>
        </w:rPr>
        <w:t>0.32</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0.16</w:t>
      </w:r>
      <w:r>
        <w:rPr>
          <w:rFonts w:hint="default" w:ascii="Times New Roman" w:hAnsi="Times New Roman" w:eastAsia="宋体" w:cs="Times New Roman"/>
          <w:color w:val="auto"/>
          <w:sz w:val="24"/>
        </w:rPr>
        <w:t>mg/L；SS浓度为</w:t>
      </w:r>
      <w:r>
        <w:rPr>
          <w:rFonts w:hint="default" w:ascii="Times New Roman" w:hAnsi="Times New Roman" w:eastAsia="宋体" w:cs="Times New Roman"/>
          <w:color w:val="auto"/>
          <w:sz w:val="24"/>
          <w:lang w:val="en-US" w:eastAsia="zh-CN"/>
        </w:rPr>
        <w:t>9.37</w:t>
      </w:r>
      <w:r>
        <w:rPr>
          <w:rFonts w:hint="default" w:ascii="Times New Roman" w:hAnsi="Times New Roman" w:eastAsia="宋体" w:cs="Times New Roman"/>
          <w:color w:val="auto"/>
          <w:sz w:val="24"/>
        </w:rPr>
        <w:t>mg/L，比</w:t>
      </w:r>
      <w:r>
        <w:rPr>
          <w:rFonts w:hint="default" w:ascii="Times New Roman" w:hAnsi="Times New Roman" w:eastAsia="宋体" w:cs="Times New Roman"/>
          <w:color w:val="auto"/>
          <w:kern w:val="0"/>
          <w:sz w:val="24"/>
          <w:lang w:val="en-US" w:eastAsia="zh-CN" w:bidi="ar"/>
        </w:rPr>
        <w:t>2#控制断面</w:t>
      </w:r>
      <w:r>
        <w:rPr>
          <w:rFonts w:hint="default" w:ascii="Times New Roman" w:hAnsi="Times New Roman" w:eastAsia="宋体" w:cs="Times New Roman"/>
          <w:color w:val="auto"/>
          <w:kern w:val="0"/>
          <w:sz w:val="24"/>
          <w:lang w:bidi="ar"/>
        </w:rPr>
        <w:t>背景</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增加</w:t>
      </w:r>
      <w:r>
        <w:rPr>
          <w:rFonts w:hint="default" w:ascii="Times New Roman" w:hAnsi="Times New Roman" w:eastAsia="宋体" w:cs="Times New Roman"/>
          <w:color w:val="auto"/>
          <w:sz w:val="24"/>
        </w:rPr>
        <w:t>了</w:t>
      </w:r>
      <w:r>
        <w:rPr>
          <w:rFonts w:hint="default" w:ascii="Times New Roman" w:hAnsi="Times New Roman" w:eastAsia="宋体" w:cs="Times New Roman"/>
          <w:color w:val="auto"/>
          <w:sz w:val="24"/>
          <w:lang w:val="en-US" w:eastAsia="zh-CN"/>
        </w:rPr>
        <w:t>1.37</w:t>
      </w:r>
      <w:r>
        <w:rPr>
          <w:rFonts w:hint="default" w:ascii="Times New Roman" w:hAnsi="Times New Roman" w:eastAsia="宋体" w:cs="Times New Roman"/>
          <w:color w:val="auto"/>
          <w:sz w:val="24"/>
        </w:rPr>
        <w:t>mg/L。</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本项目建设运营后排放的</w:t>
      </w:r>
      <w:r>
        <w:rPr>
          <w:rFonts w:hint="default" w:ascii="Times New Roman" w:hAnsi="Times New Roman" w:eastAsia="宋体" w:cs="Times New Roman"/>
          <w:color w:val="auto"/>
          <w:sz w:val="24"/>
        </w:rPr>
        <w:t>污染物经均匀混合后</w:t>
      </w:r>
      <w:r>
        <w:rPr>
          <w:rFonts w:hint="default" w:ascii="Times New Roman" w:hAnsi="Times New Roman" w:eastAsia="宋体" w:cs="Times New Roman"/>
          <w:color w:val="auto"/>
          <w:sz w:val="24"/>
          <w:lang w:eastAsia="zh-CN"/>
        </w:rPr>
        <w:t>较超出现有污水处理厂部分的生活污水不经处理直接排至滹沱河，本项目</w:t>
      </w:r>
      <w:r>
        <w:rPr>
          <w:rFonts w:hint="default" w:ascii="Times New Roman" w:hAnsi="Times New Roman" w:eastAsia="宋体" w:cs="Times New Roman"/>
          <w:color w:val="auto"/>
          <w:sz w:val="24"/>
        </w:rPr>
        <w:t>出水将进一步改善滹沱河的水体状况。在非正常排放情况下对排放口附近滹沱河水质影响较大，应杜绝事故排放情况发生。对项目废污水非正常排放情况应制定相应的应急管理预案。</w:t>
      </w:r>
    </w:p>
    <w:p>
      <w:pPr>
        <w:keepNext w:val="0"/>
        <w:keepLines w:val="0"/>
        <w:pageBreakBefore w:val="0"/>
        <w:widowControl w:val="0"/>
        <w:kinsoku/>
        <w:wordWrap/>
        <w:overflowPunct/>
        <w:topLinePunct w:val="0"/>
        <w:autoSpaceDE w:val="0"/>
        <w:autoSpaceDN w:val="0"/>
        <w:bidi w:val="0"/>
        <w:adjustRightInd/>
        <w:snapToGrid/>
        <w:spacing w:before="0" w:beforeLines="25" w:after="0" w:afterLines="25"/>
        <w:jc w:val="center"/>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eastAsia="zh-CN"/>
        </w:rPr>
        <w:t>地表水环境影响评价自查表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225"/>
        <w:gridCol w:w="1510"/>
        <w:gridCol w:w="142"/>
        <w:gridCol w:w="128"/>
        <w:gridCol w:w="445"/>
        <w:gridCol w:w="460"/>
        <w:gridCol w:w="518"/>
        <w:gridCol w:w="695"/>
        <w:gridCol w:w="568"/>
        <w:gridCol w:w="288"/>
        <w:gridCol w:w="517"/>
        <w:gridCol w:w="715"/>
        <w:gridCol w:w="215"/>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4"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工作内容</w:t>
            </w:r>
          </w:p>
        </w:tc>
        <w:tc>
          <w:tcPr>
            <w:tcW w:w="6172" w:type="dxa"/>
            <w:gridSpan w:val="1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影响识别</w:t>
            </w: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影响类型</w:t>
            </w:r>
          </w:p>
        </w:tc>
        <w:tc>
          <w:tcPr>
            <w:tcW w:w="151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6172" w:type="dxa"/>
            <w:gridSpan w:val="12"/>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水污染影响型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；水文要素影响型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水环境保护目标</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饮用水水源保护区 口； 饮用水取水口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涉水的自然保护区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；重要湿地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重点保护与珍稀水生生物的栖息地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重要水生生物的自然产卵场及索饵场、越冬场和洄游通道、天然渔场等渔业水体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涉水的风景名胜区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；其他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影响途径</w:t>
            </w:r>
          </w:p>
        </w:tc>
        <w:tc>
          <w:tcPr>
            <w:tcW w:w="3898" w:type="dxa"/>
            <w:gridSpan w:val="7"/>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水污染影响型</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3898" w:type="dxa"/>
            <w:gridSpan w:val="7"/>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直接排放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间接排放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c>
          <w:tcPr>
            <w:tcW w:w="3784" w:type="dxa"/>
            <w:gridSpan w:val="6"/>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水温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；径流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水域面积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影响因子</w:t>
            </w:r>
          </w:p>
        </w:tc>
        <w:tc>
          <w:tcPr>
            <w:tcW w:w="3898" w:type="dxa"/>
            <w:gridSpan w:val="7"/>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持久性污染物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有毒有害污染物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非持久性污染物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pH值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；热污染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富营养化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c>
          <w:tcPr>
            <w:tcW w:w="3784" w:type="dxa"/>
            <w:gridSpan w:val="6"/>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水温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；水位（水深）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流速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流量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dxa"/>
            <w:gridSpan w:val="2"/>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3898" w:type="dxa"/>
            <w:gridSpan w:val="7"/>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水污染影响型</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dxa"/>
            <w:gridSpan w:val="2"/>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3898" w:type="dxa"/>
            <w:gridSpan w:val="7"/>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一级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二级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三级A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三级B </w:t>
            </w:r>
            <w:r>
              <w:rPr>
                <w:rFonts w:hint="default" w:ascii="Times New Roman" w:hAnsi="Times New Roman" w:eastAsia="宋体" w:cs="Times New Roman"/>
                <w:color w:val="auto"/>
                <w:sz w:val="21"/>
                <w:szCs w:val="21"/>
              </w:rPr>
              <w:sym w:font="Wingdings" w:char="00A8"/>
            </w:r>
          </w:p>
        </w:tc>
        <w:tc>
          <w:tcPr>
            <w:tcW w:w="3784" w:type="dxa"/>
            <w:gridSpan w:val="6"/>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一级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二级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三级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现状调查</w:t>
            </w: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区域污染源</w:t>
            </w:r>
          </w:p>
        </w:tc>
        <w:tc>
          <w:tcPr>
            <w:tcW w:w="3898" w:type="dxa"/>
            <w:gridSpan w:val="7"/>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调查项目</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780" w:type="dxa"/>
            <w:gridSpan w:val="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已建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在建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拟建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其他 </w:t>
            </w:r>
            <w:r>
              <w:rPr>
                <w:rFonts w:hint="default" w:ascii="Times New Roman" w:hAnsi="Times New Roman" w:eastAsia="宋体" w:cs="Times New Roman"/>
                <w:color w:val="auto"/>
                <w:sz w:val="21"/>
                <w:szCs w:val="21"/>
              </w:rPr>
              <w:sym w:font="Wingdings" w:char="00A8"/>
            </w:r>
          </w:p>
        </w:tc>
        <w:tc>
          <w:tcPr>
            <w:tcW w:w="2118" w:type="dxa"/>
            <w:gridSpan w:val="4"/>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拟替代的污染源 </w:t>
            </w:r>
            <w:r>
              <w:rPr>
                <w:rFonts w:hint="default" w:ascii="Times New Roman" w:hAnsi="Times New Roman" w:eastAsia="宋体" w:cs="Times New Roman"/>
                <w:color w:val="auto"/>
                <w:sz w:val="21"/>
                <w:szCs w:val="21"/>
              </w:rPr>
              <w:sym w:font="Wingdings" w:char="00A8"/>
            </w:r>
          </w:p>
        </w:tc>
        <w:tc>
          <w:tcPr>
            <w:tcW w:w="3784" w:type="dxa"/>
            <w:gridSpan w:val="6"/>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排污许可证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环评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环保验收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既有实测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现场监测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入河排放口数据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受影响水体水环境质量</w:t>
            </w:r>
          </w:p>
        </w:tc>
        <w:tc>
          <w:tcPr>
            <w:tcW w:w="3898" w:type="dxa"/>
            <w:gridSpan w:val="7"/>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调查时期</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3898" w:type="dxa"/>
            <w:gridSpan w:val="7"/>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丰水期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平水期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枯水期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冰封期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春季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夏季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秋季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冬季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生态环境保护主管部门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补充监测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区域水资源开发利用状况</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未开发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开发量40%以下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开发量40%以上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水文情势调查</w:t>
            </w:r>
          </w:p>
        </w:tc>
        <w:tc>
          <w:tcPr>
            <w:tcW w:w="3898" w:type="dxa"/>
            <w:gridSpan w:val="7"/>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调查时期</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3898" w:type="dxa"/>
            <w:gridSpan w:val="7"/>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丰水期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平水期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枯水期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冰封期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春季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夏季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秋季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冬季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c>
          <w:tcPr>
            <w:tcW w:w="3784" w:type="dxa"/>
            <w:gridSpan w:val="6"/>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生态环境保护主管部门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补充监测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补充监测</w:t>
            </w:r>
          </w:p>
        </w:tc>
        <w:tc>
          <w:tcPr>
            <w:tcW w:w="3898" w:type="dxa"/>
            <w:gridSpan w:val="7"/>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监测时期</w:t>
            </w:r>
          </w:p>
        </w:tc>
        <w:tc>
          <w:tcPr>
            <w:tcW w:w="2088"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696"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监测断面或点位个数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3898" w:type="dxa"/>
            <w:gridSpan w:val="7"/>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丰水期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平水期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枯水期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冰封期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春季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夏季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秋季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冬季 </w:t>
            </w:r>
            <w:r>
              <w:rPr>
                <w:rFonts w:hint="default" w:ascii="Times New Roman" w:hAnsi="Times New Roman" w:eastAsia="宋体" w:cs="Times New Roman"/>
                <w:color w:val="auto"/>
                <w:sz w:val="21"/>
                <w:szCs w:val="21"/>
              </w:rPr>
              <w:sym w:font="Wingdings" w:char="00A8"/>
            </w:r>
          </w:p>
        </w:tc>
        <w:tc>
          <w:tcPr>
            <w:tcW w:w="2088" w:type="dxa"/>
            <w:gridSpan w:val="4"/>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pH、CODcr、BOD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、氨氮、总磷、总氮、色度、水温、流速、流量等</w:t>
            </w:r>
            <w:r>
              <w:rPr>
                <w:rFonts w:hint="default" w:ascii="Times New Roman" w:hAnsi="Times New Roman" w:eastAsia="宋体" w:cs="Times New Roman"/>
                <w:color w:val="auto"/>
                <w:sz w:val="21"/>
                <w:szCs w:val="21"/>
              </w:rPr>
              <w:t>）</w:t>
            </w:r>
          </w:p>
        </w:tc>
        <w:tc>
          <w:tcPr>
            <w:tcW w:w="1696"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监测断面或点位个数（3）个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河流：长度（2）km； 湖库、河口及近岸海域：（ / ）km</w:t>
            </w:r>
            <w:r>
              <w:rPr>
                <w:rFonts w:hint="default" w:ascii="Times New Roman" w:hAnsi="Times New Roman" w:eastAsia="宋体" w:cs="Times New Roman"/>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（pH、CODcr、BOD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、氨氮、色度、总磷、总氮、砷、汞、六价铬、悬浮物、总铬、铅、LAS、粪大肠菌群、镉、烷基汞、水温、流速、流量）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河流、湖库、河口：Ⅰ类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Ⅱ类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Ⅲ类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Ⅳ类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；Ⅴ类</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近岸海域：第一类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第二类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第三类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第四类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规划年评价标准（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评价时期</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丰水期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平水期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枯水期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冰封期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春季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夏季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秋季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冬季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6201" w:type="dxa"/>
            <w:gridSpan w:val="12"/>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水环境功能区或水功能区、近岸海域环境功能区水质达标状况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：达标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不达标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水环境控制单元或断面水质达标状况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：达标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不达标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水环境保护目标质量状况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：达标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不达标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对照断面、控制断面等代表性断面的水质状况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：达标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不达标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底泥污染评价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水资源与开发利用程度及其水文情势评价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水环境质量回顾评价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流域（区域）水资源（包括水能资源）与开发利用总体规划、生态流量管理要求与现状满足程度、建设项目占用水域空间的水流状况与河湖演变状况 </w:t>
            </w:r>
            <w:r>
              <w:rPr>
                <w:rFonts w:hint="default" w:ascii="Times New Roman" w:hAnsi="Times New Roman" w:eastAsia="宋体" w:cs="Times New Roman"/>
                <w:color w:val="auto"/>
                <w:sz w:val="21"/>
                <w:szCs w:val="21"/>
              </w:rPr>
              <w:sym w:font="Wingdings" w:char="00A8"/>
            </w:r>
          </w:p>
        </w:tc>
        <w:tc>
          <w:tcPr>
            <w:tcW w:w="1481" w:type="dxa"/>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达标区 </w:t>
            </w:r>
            <w:r>
              <w:rPr>
                <w:rFonts w:hint="default" w:ascii="Times New Roman" w:hAnsi="Times New Roman" w:eastAsia="宋体" w:cs="Times New Roman"/>
                <w:color w:val="auto"/>
                <w:sz w:val="21"/>
                <w:szCs w:val="21"/>
              </w:rPr>
              <w:sym w:font="Wingdings" w:char="00FE"/>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不达标区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影响预测</w:t>
            </w: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预测范围</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河流：长度（2）km； 湖库、河口及近岸海域：（ /  ）km</w:t>
            </w:r>
            <w:r>
              <w:rPr>
                <w:rFonts w:hint="default" w:ascii="Times New Roman" w:hAnsi="Times New Roman" w:eastAsia="宋体" w:cs="Times New Roman"/>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、氨氮、总磷、总氮、悬浮物）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预测时期</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丰水期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平水期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枯水期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冰封期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春季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夏季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秋季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冬季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设计水文条件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预测情景</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建设期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生产运行期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服务期满后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正常工况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非正常工况 </w:t>
            </w:r>
            <w:r>
              <w:rPr>
                <w:rFonts w:hint="default" w:ascii="Times New Roman" w:hAnsi="Times New Roman" w:eastAsia="宋体" w:cs="Times New Roman"/>
                <w:color w:val="auto"/>
                <w:sz w:val="21"/>
                <w:szCs w:val="21"/>
              </w:rPr>
              <w:sym w:font="Wingdings" w:char="00FE"/>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污染控制和缓解措施方案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区（流）域环境质量改善目标要求情景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预测方法</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数值解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解析解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导则推荐模式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其他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影响评价</w:t>
            </w: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水污染控制和水环境影响减缓措施有效性评价</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区（流）域水环境质量改善目标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替代消减源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水环境影响评价</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排放口混合区外满足水环境管理要求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水环境功能区或水功能区、近岸海域环境功能区水质达标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满足水环境保护目标水域水环境质量要求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水环境控制单元或断面水质达标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满足重点水污染物排放总量控制指标要求，重点行业建设项目，主要污染物排放满足等量或减量替代要求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满足区（流）域水环境质量改善目标要求 </w:t>
            </w:r>
            <w:r>
              <w:rPr>
                <w:rFonts w:hint="default" w:ascii="Times New Roman" w:hAnsi="Times New Roman" w:eastAsia="宋体" w:cs="Times New Roman"/>
                <w:color w:val="auto"/>
                <w:sz w:val="21"/>
                <w:szCs w:val="21"/>
              </w:rPr>
              <w:sym w:font="Wingdings" w:char="00FE"/>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水文要素影响型建设项目同时应包括水文情势变化评价、主要水文特征值影响评价、生态流量符合性评价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对于新设或调整入河（湖库、近岸海域）排放口的建设项目，应包括排放口设置的环境合理性评价 </w:t>
            </w:r>
            <w:r>
              <w:rPr>
                <w:rFonts w:hint="default" w:ascii="Times New Roman" w:hAnsi="Times New Roman" w:eastAsia="宋体" w:cs="Times New Roman"/>
                <w:color w:val="auto"/>
                <w:sz w:val="21"/>
                <w:szCs w:val="21"/>
              </w:rPr>
              <w:sym w:font="Wingdings" w:char="00A8"/>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满足生态保护红线、水环境质量底线、资源利用上线和环境准入清单管理要求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污染源排放量核算</w:t>
            </w: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CODcr</w:t>
            </w:r>
            <w:r>
              <w:rPr>
                <w:rFonts w:hint="default" w:ascii="Times New Roman" w:hAnsi="Times New Roman" w:eastAsia="宋体" w:cs="Times New Roman"/>
                <w:color w:val="auto"/>
                <w:sz w:val="21"/>
                <w:szCs w:val="21"/>
              </w:rPr>
              <w:t>）</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43.8</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10.95</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0.438</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16.425</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685"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58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10.95</w:t>
            </w:r>
          </w:p>
        </w:tc>
        <w:tc>
          <w:tcPr>
            <w:tcW w:w="241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替代源排放情况</w:t>
            </w:r>
          </w:p>
        </w:tc>
        <w:tc>
          <w:tcPr>
            <w:tcW w:w="1652"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污染源名称</w:t>
            </w:r>
          </w:p>
        </w:tc>
        <w:tc>
          <w:tcPr>
            <w:tcW w:w="1551"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排污许可证编号</w:t>
            </w:r>
          </w:p>
        </w:tc>
        <w:tc>
          <w:tcPr>
            <w:tcW w:w="155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447"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148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51"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551"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47"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1481"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生态流量确定</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生态流量：一般水期（ /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 鱼类繁殖期（ /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 其他（ /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生态水位：一般水期（ / ）m； 鱼类繁殖期（ /  ）m； 其他（ /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防治措施</w:t>
            </w: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环保措施</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污水处理设施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水文减缓设施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生态流量保障设施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区域消减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依托其他工程措施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；其他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监测计划</w:t>
            </w:r>
          </w:p>
        </w:tc>
        <w:tc>
          <w:tcPr>
            <w:tcW w:w="2225" w:type="dxa"/>
            <w:gridSpan w:val="4"/>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2241"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w:t>
            </w:r>
          </w:p>
        </w:tc>
        <w:tc>
          <w:tcPr>
            <w:tcW w:w="321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225"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监测方式</w:t>
            </w:r>
          </w:p>
        </w:tc>
        <w:tc>
          <w:tcPr>
            <w:tcW w:w="2241"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手动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自动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无监测 </w:t>
            </w:r>
            <w:r>
              <w:rPr>
                <w:rFonts w:hint="default" w:ascii="Times New Roman" w:hAnsi="Times New Roman" w:eastAsia="宋体" w:cs="Times New Roman"/>
                <w:color w:val="auto"/>
                <w:sz w:val="21"/>
                <w:szCs w:val="21"/>
              </w:rPr>
              <w:sym w:font="Wingdings" w:char="00A8"/>
            </w:r>
          </w:p>
        </w:tc>
        <w:tc>
          <w:tcPr>
            <w:tcW w:w="321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手动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 xml:space="preserve">； 自动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无监测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225"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241"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3  ）</w:t>
            </w:r>
          </w:p>
        </w:tc>
        <w:tc>
          <w:tcPr>
            <w:tcW w:w="321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p>
        </w:tc>
        <w:tc>
          <w:tcPr>
            <w:tcW w:w="2225"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2241"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pH、SS、CODcr、BOD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、氨氮、总磷、总氮、硫化物、挥发酚、氰化物、石油类、氟化物、色度、水温、流速、流量等</w:t>
            </w:r>
            <w:r>
              <w:rPr>
                <w:rFonts w:hint="default" w:ascii="Times New Roman" w:hAnsi="Times New Roman" w:eastAsia="宋体" w:cs="Times New Roman"/>
                <w:color w:val="auto"/>
                <w:sz w:val="21"/>
                <w:szCs w:val="21"/>
              </w:rPr>
              <w:t>）</w:t>
            </w:r>
          </w:p>
        </w:tc>
        <w:tc>
          <w:tcPr>
            <w:tcW w:w="3216" w:type="dxa"/>
            <w:gridSpan w:val="5"/>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pH、CODcr、BOD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、氨氮、总磷、总氮、水温、流速、流量</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tcBorders>
              <w:tl2br w:val="nil"/>
              <w:tr2bl w:val="nil"/>
            </w:tcBorders>
            <w:vAlign w:val="center"/>
          </w:tcPr>
          <w:p>
            <w:pPr>
              <w:spacing w:line="240" w:lineRule="auto"/>
              <w:rPr>
                <w:rFonts w:hint="default" w:ascii="Times New Roman" w:hAnsi="Times New Roman" w:eastAsia="宋体" w:cs="Times New Roman"/>
                <w:color w:val="auto"/>
                <w:sz w:val="21"/>
                <w:szCs w:val="21"/>
              </w:rPr>
            </w:pPr>
          </w:p>
        </w:tc>
        <w:tc>
          <w:tcPr>
            <w:tcW w:w="1225"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污染源排放清单</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4"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7682" w:type="dxa"/>
            <w:gridSpan w:val="13"/>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可以接受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rPr>
              <w:t xml:space="preserve">； 不可以接受 </w:t>
            </w:r>
            <w:r>
              <w:rPr>
                <w:rFonts w:hint="default" w:ascii="Times New Roman" w:hAnsi="Times New Roman" w:eastAsia="宋体" w:cs="Times New Roman"/>
                <w:color w:val="auto"/>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6" w:type="dxa"/>
            <w:gridSpan w:val="15"/>
            <w:tcBorders>
              <w:tl2br w:val="nil"/>
              <w:tr2bl w:val="nil"/>
            </w:tcBorders>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rPr>
              <w:t>”为勾选项，可“√”； “（ ）”为内容填写项； “备注”为其他补充内容。</w:t>
            </w:r>
          </w:p>
        </w:tc>
      </w:tr>
    </w:tbl>
    <w:p>
      <w:pPr>
        <w:widowControl w:val="0"/>
        <w:adjustRightInd/>
        <w:snapToGrid/>
        <w:jc w:val="center"/>
        <w:rPr>
          <w:rFonts w:hint="default" w:ascii="Times New Roman" w:hAnsi="Times New Roman" w:eastAsia="宋体" w:cs="Times New Roman"/>
          <w:b/>
          <w:color w:val="auto"/>
          <w:kern w:val="2"/>
          <w:sz w:val="44"/>
          <w:szCs w:val="44"/>
        </w:rPr>
      </w:pPr>
      <w:r>
        <w:rPr>
          <w:rFonts w:hint="default" w:ascii="Times New Roman" w:hAnsi="Times New Roman" w:eastAsia="宋体" w:cs="Times New Roman"/>
          <w:b/>
          <w:color w:val="auto"/>
          <w:kern w:val="2"/>
          <w:sz w:val="44"/>
          <w:szCs w:val="44"/>
        </w:rPr>
        <w:br w:type="page"/>
      </w:r>
    </w:p>
    <w:p>
      <w:pPr>
        <w:pStyle w:val="4"/>
        <w:keepNext/>
        <w:keepLines/>
        <w:pageBreakBefore w:val="0"/>
        <w:widowControl w:val="0"/>
        <w:kinsoku/>
        <w:wordWrap/>
        <w:overflowPunct/>
        <w:topLinePunct w:val="0"/>
        <w:autoSpaceDE/>
        <w:autoSpaceDN/>
        <w:bidi w:val="0"/>
        <w:adjustRightInd/>
        <w:snapToGrid/>
        <w:spacing w:before="0" w:after="0" w:line="480" w:lineRule="exact"/>
        <w:jc w:val="center"/>
        <w:textAlignment w:val="auto"/>
        <w:rPr>
          <w:rFonts w:hint="default" w:ascii="Times New Roman" w:hAnsi="Times New Roman" w:eastAsia="宋体" w:cs="Times New Roman"/>
          <w:color w:val="auto"/>
          <w:sz w:val="32"/>
          <w:szCs w:val="32"/>
        </w:rPr>
      </w:pPr>
      <w:bookmarkStart w:id="75" w:name="_Toc7080"/>
      <w:bookmarkStart w:id="76" w:name="_Toc6924003"/>
      <w:bookmarkStart w:id="77" w:name="_Toc6924024"/>
      <w:bookmarkStart w:id="78" w:name="_Toc6924461"/>
      <w:bookmarkStart w:id="79" w:name="_Toc6924358"/>
      <w:r>
        <w:rPr>
          <w:rFonts w:hint="default" w:ascii="Times New Roman" w:hAnsi="Times New Roman" w:eastAsia="宋体" w:cs="Times New Roman"/>
          <w:color w:val="auto"/>
          <w:sz w:val="32"/>
          <w:szCs w:val="32"/>
        </w:rPr>
        <w:t>第四章地下水影响评价</w:t>
      </w:r>
      <w:bookmarkEnd w:id="75"/>
    </w:p>
    <w:bookmarkEnd w:id="76"/>
    <w:bookmarkEnd w:id="77"/>
    <w:bookmarkEnd w:id="78"/>
    <w:bookmarkEnd w:id="79"/>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80" w:name="_Toc3760"/>
      <w:bookmarkStart w:id="81" w:name="_Toc370219687"/>
      <w:bookmarkStart w:id="82" w:name="_Toc333505484"/>
      <w:bookmarkStart w:id="83" w:name="_Toc366482308"/>
      <w:bookmarkStart w:id="84" w:name="_Toc31186"/>
      <w:r>
        <w:rPr>
          <w:rFonts w:hint="default" w:ascii="Times New Roman" w:hAnsi="Times New Roman" w:eastAsia="宋体" w:cs="Times New Roman"/>
          <w:color w:val="auto"/>
          <w:sz w:val="24"/>
          <w:szCs w:val="24"/>
        </w:rPr>
        <w:t>4.1 编制依据</w:t>
      </w:r>
      <w:bookmarkEnd w:id="80"/>
      <w:bookmarkEnd w:id="81"/>
      <w:bookmarkEnd w:id="82"/>
      <w:bookmarkEnd w:id="83"/>
      <w:bookmarkEnd w:id="84"/>
    </w:p>
    <w:p>
      <w:pPr>
        <w:pStyle w:val="6"/>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rPr>
      </w:pPr>
      <w:bookmarkStart w:id="85" w:name="_Toc453593998"/>
      <w:bookmarkStart w:id="86" w:name="_Toc467592194"/>
      <w:bookmarkStart w:id="87" w:name="_Toc520448977"/>
      <w:bookmarkStart w:id="88" w:name="_Toc454288967"/>
      <w:bookmarkStart w:id="89" w:name="_Toc520449215"/>
      <w:bookmarkStart w:id="90" w:name="_Toc374709529"/>
      <w:bookmarkStart w:id="91" w:name="_Toc426559809"/>
      <w:bookmarkStart w:id="92" w:name="_Toc370219688"/>
      <w:bookmarkStart w:id="93" w:name="_Toc9449"/>
      <w:bookmarkStart w:id="94" w:name="_Toc467163600"/>
      <w:bookmarkStart w:id="95" w:name="_Toc372208408"/>
      <w:bookmarkStart w:id="96" w:name="_Toc22883"/>
      <w:bookmarkStart w:id="97" w:name="_Toc374709267"/>
      <w:bookmarkStart w:id="98" w:name="_Toc479591752"/>
      <w:bookmarkStart w:id="99" w:name="_Toc372208210"/>
      <w:r>
        <w:rPr>
          <w:rFonts w:hint="default" w:ascii="Times New Roman" w:hAnsi="Times New Roman" w:eastAsia="宋体" w:cs="Times New Roman"/>
          <w:color w:val="auto"/>
          <w:sz w:val="24"/>
        </w:rPr>
        <w:t>4.1.1 任务依据</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山西省繁峙县3000m³生活污水应急处理站项目进行地下水环境现状评价，预测和评价建设项目实施过程中对地下水环境可能造成的直接影响和间接危害，并针对这种影响和危害提出防治对策，预防与控制环境恶化，保护地下水资源，为建设项目选址决策、工程设计和环境管理提供科学依据。</w:t>
      </w:r>
    </w:p>
    <w:p>
      <w:pPr>
        <w:pStyle w:val="6"/>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rPr>
      </w:pPr>
      <w:bookmarkStart w:id="100" w:name="_Toc374709530"/>
      <w:bookmarkStart w:id="101" w:name="_Toc520448978"/>
      <w:bookmarkStart w:id="102" w:name="_Toc467163601"/>
      <w:bookmarkStart w:id="103" w:name="_Toc454288968"/>
      <w:bookmarkStart w:id="104" w:name="_Toc22893"/>
      <w:bookmarkStart w:id="105" w:name="_Toc22329"/>
      <w:bookmarkStart w:id="106" w:name="_Toc426559810"/>
      <w:bookmarkStart w:id="107" w:name="_Toc372208409"/>
      <w:bookmarkStart w:id="108" w:name="_Toc479591753"/>
      <w:bookmarkStart w:id="109" w:name="_Toc467592195"/>
      <w:bookmarkStart w:id="110" w:name="_Toc374709268"/>
      <w:bookmarkStart w:id="111" w:name="_Toc520449216"/>
      <w:bookmarkStart w:id="112" w:name="_Toc370219689"/>
      <w:bookmarkStart w:id="113" w:name="_Toc372208211"/>
      <w:bookmarkStart w:id="114" w:name="_Toc453593999"/>
      <w:r>
        <w:rPr>
          <w:rFonts w:hint="default" w:ascii="Times New Roman" w:hAnsi="Times New Roman" w:eastAsia="宋体" w:cs="Times New Roman"/>
          <w:color w:val="auto"/>
          <w:sz w:val="24"/>
        </w:rPr>
        <w:t>4.1.2 有关法律、法规、标准</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（1）《中华人民共和国环境保护法》，2015.1；</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（2）《中华人民共和国环境影响评价法》，2018.12；</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（3）《中华人民共和国水污染防治法》，2018.1；</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（4）国务院国发682号令《建设项目环境管理条例》，2017.10；</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（5）国务院国发[2011] 35号文《国务院关于加强环境保护工作的意见》，2011.10；</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（6）《水污染防治行动计划》，2015年4月；</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（7）环境保护部令第44号《建设项目环境影响评价分类管理名录》，2018.4；</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（8）《山西省环境保护条例》，2016.12；</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（9）《山西省泉域水资源保护条例》，2010.11。</w:t>
      </w:r>
    </w:p>
    <w:p>
      <w:pPr>
        <w:pStyle w:val="6"/>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rPr>
      </w:pPr>
      <w:bookmarkStart w:id="115" w:name="_Toc370219690"/>
      <w:bookmarkStart w:id="116" w:name="_Toc426559811"/>
      <w:bookmarkStart w:id="117" w:name="_Toc479591754"/>
      <w:bookmarkStart w:id="118" w:name="_Toc467163602"/>
      <w:bookmarkStart w:id="119" w:name="_Toc520448979"/>
      <w:bookmarkStart w:id="120" w:name="_Toc453594000"/>
      <w:bookmarkStart w:id="121" w:name="_Toc374709531"/>
      <w:bookmarkStart w:id="122" w:name="_Toc952"/>
      <w:bookmarkStart w:id="123" w:name="_Toc520449217"/>
      <w:bookmarkStart w:id="124" w:name="_Toc7002"/>
      <w:bookmarkStart w:id="125" w:name="_Toc372208212"/>
      <w:bookmarkStart w:id="126" w:name="_Toc372208410"/>
      <w:bookmarkStart w:id="127" w:name="_Toc374709269"/>
      <w:bookmarkStart w:id="128" w:name="_Toc454288969"/>
      <w:bookmarkStart w:id="129" w:name="_Toc467592196"/>
      <w:r>
        <w:rPr>
          <w:rFonts w:hint="default" w:ascii="Times New Roman" w:hAnsi="Times New Roman" w:eastAsia="宋体" w:cs="Times New Roman"/>
          <w:color w:val="auto"/>
          <w:sz w:val="24"/>
        </w:rPr>
        <w:t>4.1.3 技术规范</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（1）《地下水质量标准》（GB/T 14848-2017）；</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（2）《供水水文地质勘察规范》（GB 50027-2016）；</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（3）《环境影响评价技术导则 总纲》（HJ 2.1-2016）；</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（4）《环境影响评价技术导则 地下水环境》（HJ 610-2016）；</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（5）《地下水环境监测技术规范》（HJ/T 164-2004）；</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（6）《饮用水水源保护区划分技术规范》（HJ/T 338-2017）；</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（7）《1：5万区域水文地质工程地质环境地质综合勘察规范》（GB/T14158-93）。</w:t>
      </w:r>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130" w:name="_Toc333505485"/>
      <w:bookmarkStart w:id="131" w:name="_Toc370219691"/>
      <w:bookmarkStart w:id="132" w:name="_Toc12741"/>
      <w:bookmarkStart w:id="133" w:name="_Toc323984995"/>
      <w:bookmarkStart w:id="134" w:name="_Toc366482309"/>
      <w:bookmarkStart w:id="135" w:name="_Toc20414"/>
      <w:r>
        <w:rPr>
          <w:rFonts w:hint="default" w:ascii="Times New Roman" w:hAnsi="Times New Roman" w:eastAsia="宋体" w:cs="Times New Roman"/>
          <w:color w:val="auto"/>
          <w:sz w:val="24"/>
          <w:szCs w:val="24"/>
        </w:rPr>
        <w:t>4.2 地下水环境功能区划</w:t>
      </w:r>
      <w:bookmarkEnd w:id="130"/>
      <w:bookmarkEnd w:id="131"/>
      <w:bookmarkEnd w:id="132"/>
      <w:bookmarkEnd w:id="133"/>
      <w:bookmarkEnd w:id="134"/>
      <w:bookmarkEnd w:id="135"/>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根据《地下水质量标准》（GB/T 14848-2017）的地下水水质分类要求，以人体健康基准值为依据，主要适用于集中式生活饮用水水源及工、农业用水的地下水为Ⅲ类水质量标准，执行《地下水质量标准》（GB/T 14848-2017）Ⅲ类水质要求。</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表4-1    地下水质量标准</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6"/>
        <w:gridCol w:w="2554"/>
        <w:gridCol w:w="961"/>
        <w:gridCol w:w="957"/>
        <w:gridCol w:w="2955"/>
        <w:gridCol w:w="9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pH（无量纲）</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总硬度（以CaCO</w:t>
            </w:r>
            <w:r>
              <w:rPr>
                <w:rFonts w:hint="default" w:ascii="Times New Roman" w:hAnsi="Times New Roman" w:eastAsia="宋体" w:cs="Times New Roman"/>
                <w:snapToGrid w:val="0"/>
                <w:color w:val="auto"/>
                <w:sz w:val="21"/>
                <w:szCs w:val="21"/>
                <w:vertAlign w:val="subscript"/>
              </w:rPr>
              <w:t>3</w:t>
            </w:r>
            <w:r>
              <w:rPr>
                <w:rFonts w:hint="default" w:ascii="Times New Roman" w:hAnsi="Times New Roman" w:eastAsia="宋体" w:cs="Times New Roman"/>
                <w:color w:val="auto"/>
                <w:sz w:val="21"/>
                <w:szCs w:val="21"/>
              </w:rPr>
              <w:t>计）</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95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耗氧量</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955" w:type="dxa"/>
            <w:noWrap/>
            <w:vAlign w:val="center"/>
          </w:tcPr>
          <w:p>
            <w:pPr>
              <w:spacing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菌落总数（CFU/mL）</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957"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955" w:type="dxa"/>
            <w:noWrap/>
            <w:vAlign w:val="center"/>
          </w:tcPr>
          <w:p>
            <w:pPr>
              <w:spacing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总大肠菌（CFU/100mL）</w:t>
            </w:r>
          </w:p>
        </w:tc>
        <w:tc>
          <w:tcPr>
            <w:tcW w:w="99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55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亚硝酸盐</w:t>
            </w:r>
          </w:p>
        </w:tc>
        <w:tc>
          <w:tcPr>
            <w:tcW w:w="96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905"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单位：mg/L，pH、菌落总数、总大肠菌群除外</w:t>
            </w:r>
          </w:p>
        </w:tc>
      </w:tr>
    </w:tbl>
    <w:p>
      <w:pPr>
        <w:spacing w:line="360" w:lineRule="auto"/>
        <w:jc w:val="center"/>
        <w:rPr>
          <w:rFonts w:hint="default" w:ascii="Times New Roman" w:hAnsi="Times New Roman" w:eastAsia="宋体" w:cs="Times New Roman"/>
          <w:b/>
          <w:color w:val="auto"/>
          <w:sz w:val="24"/>
        </w:rPr>
      </w:pPr>
    </w:p>
    <w:p>
      <w:pPr>
        <w:pStyle w:val="4"/>
        <w:pageBreakBefore w:val="0"/>
        <w:widowControl w:val="0"/>
        <w:kinsoku/>
        <w:wordWrap/>
        <w:overflowPunct/>
        <w:topLinePunct w:val="0"/>
        <w:autoSpaceDE/>
        <w:autoSpaceDN/>
        <w:bidi w:val="0"/>
        <w:adjustRightInd/>
        <w:snapToGrid/>
        <w:spacing w:before="0" w:after="0" w:line="480" w:lineRule="exact"/>
        <w:jc w:val="left"/>
        <w:textAlignment w:val="auto"/>
        <w:rPr>
          <w:rFonts w:hint="default" w:ascii="Times New Roman" w:hAnsi="Times New Roman" w:eastAsia="宋体" w:cs="Times New Roman"/>
          <w:color w:val="auto"/>
          <w:sz w:val="24"/>
          <w:szCs w:val="24"/>
        </w:rPr>
      </w:pPr>
      <w:bookmarkStart w:id="136" w:name="_Toc333505486"/>
      <w:bookmarkStart w:id="137" w:name="_Toc366482310"/>
      <w:bookmarkStart w:id="138" w:name="_Toc370219692"/>
      <w:bookmarkStart w:id="139" w:name="_Toc323984996"/>
      <w:r>
        <w:rPr>
          <w:rFonts w:hint="default" w:ascii="Times New Roman" w:hAnsi="Times New Roman" w:eastAsia="宋体" w:cs="Times New Roman"/>
          <w:color w:val="auto"/>
          <w:szCs w:val="32"/>
        </w:rPr>
        <w:br w:type="page"/>
      </w:r>
      <w:bookmarkStart w:id="140" w:name="_Toc17193"/>
      <w:bookmarkStart w:id="141" w:name="_Toc21383"/>
      <w:r>
        <w:rPr>
          <w:rFonts w:hint="default" w:ascii="Times New Roman" w:hAnsi="Times New Roman" w:eastAsia="宋体" w:cs="Times New Roman"/>
          <w:color w:val="auto"/>
          <w:sz w:val="24"/>
          <w:szCs w:val="24"/>
        </w:rPr>
        <w:t>2 地下水评价工作等级与评价范围</w:t>
      </w:r>
      <w:bookmarkEnd w:id="136"/>
      <w:bookmarkEnd w:id="137"/>
      <w:bookmarkEnd w:id="138"/>
      <w:bookmarkEnd w:id="139"/>
      <w:bookmarkEnd w:id="140"/>
      <w:bookmarkEnd w:id="141"/>
    </w:p>
    <w:p>
      <w:pPr>
        <w:pStyle w:val="5"/>
        <w:pageBreakBefore w:val="0"/>
        <w:widowControl w:val="0"/>
        <w:kinsoku/>
        <w:wordWrap/>
        <w:overflowPunct/>
        <w:topLinePunct w:val="0"/>
        <w:autoSpaceDE/>
        <w:autoSpaceDN/>
        <w:bidi w:val="0"/>
        <w:adjustRightInd/>
        <w:snapToGrid/>
        <w:spacing w:before="0" w:after="0" w:line="480" w:lineRule="exact"/>
        <w:jc w:val="left"/>
        <w:textAlignment w:val="auto"/>
        <w:rPr>
          <w:rFonts w:hint="default" w:ascii="Times New Roman" w:hAnsi="Times New Roman" w:eastAsia="宋体" w:cs="Times New Roman"/>
          <w:color w:val="auto"/>
          <w:sz w:val="24"/>
          <w:szCs w:val="24"/>
        </w:rPr>
      </w:pPr>
      <w:bookmarkStart w:id="142" w:name="_Toc4725"/>
      <w:bookmarkStart w:id="143" w:name="_Toc467163605"/>
      <w:bookmarkStart w:id="144" w:name="_Toc479591757"/>
      <w:bookmarkStart w:id="145" w:name="_Toc372208414"/>
      <w:bookmarkStart w:id="146" w:name="_Toc426559815"/>
      <w:bookmarkStart w:id="147" w:name="_Toc374709535"/>
      <w:bookmarkStart w:id="148" w:name="_Toc370219694"/>
      <w:bookmarkStart w:id="149" w:name="_Toc467592199"/>
      <w:bookmarkStart w:id="150" w:name="_Toc15952"/>
      <w:bookmarkStart w:id="151" w:name="_Toc453594003"/>
      <w:bookmarkStart w:id="152" w:name="_Toc454288972"/>
      <w:bookmarkStart w:id="153" w:name="_Toc374709273"/>
      <w:bookmarkStart w:id="154" w:name="_Toc311748002"/>
      <w:bookmarkStart w:id="155" w:name="_Toc372208216"/>
      <w:r>
        <w:rPr>
          <w:rFonts w:hint="default" w:ascii="Times New Roman" w:hAnsi="Times New Roman" w:eastAsia="宋体" w:cs="Times New Roman"/>
          <w:color w:val="auto"/>
          <w:sz w:val="24"/>
          <w:szCs w:val="24"/>
        </w:rPr>
        <w:t>2.1 评价等级</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1、项目行业类别</w:t>
      </w:r>
      <w:bookmarkStart w:id="156" w:name="OLE_LINK21"/>
    </w:p>
    <w:bookmarkEnd w:id="156"/>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据《环境影响评价技术导则  地下水环境》（HJ610-2016）附录A地下水环境影响评价行业分类表，确定地下水环境影响评价项目类别：U生活污水集中处理-报告表Ⅲ类。</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2、地下水环境敏感程度</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建设项目的地下水环境敏感程度可分为敏感、较敏感、不敏感三级。分级原则见表4-2。</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表4-2    地下水环境敏感程度分级表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8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8" w:type="dxa"/>
            <w:noWrap/>
            <w:vAlign w:val="center"/>
          </w:tcPr>
          <w:p>
            <w:pPr>
              <w:pStyle w:val="95"/>
              <w:adjustRightIn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8138" w:type="dxa"/>
            <w:noWrap/>
            <w:vAlign w:val="center"/>
          </w:tcPr>
          <w:p>
            <w:pPr>
              <w:pStyle w:val="95"/>
              <w:adjustRightIn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8" w:type="dxa"/>
            <w:noWrap/>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敏感</w:t>
            </w:r>
          </w:p>
        </w:tc>
        <w:tc>
          <w:tcPr>
            <w:tcW w:w="8138" w:type="dxa"/>
            <w:noWrap/>
            <w:vAlign w:val="center"/>
          </w:tcPr>
          <w:p>
            <w:pPr>
              <w:pStyle w:val="95"/>
              <w:adjustRightInd/>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8" w:type="dxa"/>
            <w:noWrap/>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较敏感</w:t>
            </w:r>
          </w:p>
        </w:tc>
        <w:tc>
          <w:tcPr>
            <w:tcW w:w="8138" w:type="dxa"/>
            <w:noWrap/>
            <w:vAlign w:val="center"/>
          </w:tcPr>
          <w:p>
            <w:pPr>
              <w:pStyle w:val="95"/>
              <w:adjustRightInd/>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48" w:type="dxa"/>
            <w:noWrap/>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不敏感</w:t>
            </w:r>
          </w:p>
        </w:tc>
        <w:tc>
          <w:tcPr>
            <w:tcW w:w="8138" w:type="dxa"/>
            <w:noWrap/>
            <w:vAlign w:val="center"/>
          </w:tcPr>
          <w:p>
            <w:pPr>
              <w:pStyle w:val="95"/>
              <w:adjustRightInd/>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86" w:type="dxa"/>
            <w:gridSpan w:val="2"/>
            <w:noWrap/>
            <w:vAlign w:val="center"/>
          </w:tcPr>
          <w:p>
            <w:pPr>
              <w:pStyle w:val="95"/>
              <w:adjustRightIn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注：a“环境敏感区”是指《建设项目环境影响评价分类管理名录》中所界定的涉及地下水的环境敏感区。</w:t>
            </w:r>
          </w:p>
        </w:tc>
      </w:tr>
    </w:tbl>
    <w:p>
      <w:pPr>
        <w:keepNext w:val="0"/>
        <w:keepLines w:val="0"/>
        <w:pageBreakBefore w:val="0"/>
        <w:widowControl w:val="0"/>
        <w:kinsoku/>
        <w:wordWrap/>
        <w:overflowPunct/>
        <w:topLinePunct w:val="0"/>
        <w:autoSpaceDE/>
        <w:autoSpaceDN/>
        <w:bidi w:val="0"/>
        <w:adjustRightInd/>
        <w:snapToGrid/>
        <w:spacing w:line="480" w:lineRule="exact"/>
        <w:ind w:firstLine="496" w:firstLineChars="200"/>
        <w:textAlignment w:val="auto"/>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本项目评价范围内无集中供水水源地，也无</w:t>
      </w:r>
      <w:r>
        <w:rPr>
          <w:rFonts w:hint="default" w:ascii="Times New Roman" w:hAnsi="Times New Roman" w:eastAsia="宋体" w:cs="Times New Roman"/>
          <w:color w:val="auto"/>
          <w:sz w:val="24"/>
        </w:rPr>
        <w:t>特殊地下水资源保护区</w:t>
      </w:r>
      <w:r>
        <w:rPr>
          <w:rFonts w:hint="default" w:ascii="Times New Roman" w:hAnsi="Times New Roman" w:eastAsia="宋体" w:cs="Times New Roman"/>
          <w:color w:val="auto"/>
          <w:spacing w:val="4"/>
          <w:sz w:val="24"/>
        </w:rPr>
        <w:t>，但存在</w:t>
      </w:r>
      <w:r>
        <w:rPr>
          <w:rFonts w:hint="default" w:ascii="Times New Roman" w:hAnsi="Times New Roman" w:eastAsia="宋体" w:cs="Times New Roman"/>
          <w:color w:val="auto"/>
          <w:sz w:val="24"/>
        </w:rPr>
        <w:t>分散式饮用水水源地，因此环境敏感程度确定为“较敏感”。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3、评价工作等级划分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根据项目类别划分和地下水环境敏感程度分级，确定评价工作等级为三级，评价工作等级划分依据见表4-3。</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表4-3    评价工作等级分级表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03"/>
        <w:gridCol w:w="2268"/>
        <w:gridCol w:w="2269"/>
        <w:gridCol w:w="1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dxa"/>
            <w:tcBorders>
              <w:tl2br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项目类别</w:t>
            </w:r>
          </w:p>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环境敏感程度</w:t>
            </w:r>
          </w:p>
        </w:tc>
        <w:tc>
          <w:tcPr>
            <w:tcW w:w="226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Ⅰ类</w:t>
            </w:r>
          </w:p>
        </w:tc>
        <w:tc>
          <w:tcPr>
            <w:tcW w:w="2269" w:type="dxa"/>
            <w:tcBorders>
              <w:bottom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Ⅱ类</w:t>
            </w:r>
          </w:p>
        </w:tc>
        <w:tc>
          <w:tcPr>
            <w:tcW w:w="1946" w:type="dxa"/>
            <w:tcBorders>
              <w:bottom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226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2269" w:type="dxa"/>
            <w:tcBorders>
              <w:top w:val="single" w:color="auto" w:sz="6" w:space="0"/>
              <w:bottom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946" w:type="dxa"/>
            <w:tcBorders>
              <w:top w:val="single" w:color="auto" w:sz="6" w:space="0"/>
              <w:bottom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dxa"/>
            <w:shd w:val="clear" w:color="auto" w:fill="auto"/>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2268" w:type="dxa"/>
            <w:shd w:val="clear" w:color="auto" w:fill="auto"/>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2269" w:type="dxa"/>
            <w:tcBorders>
              <w:top w:val="single" w:color="auto" w:sz="6" w:space="0"/>
              <w:bottom w:val="single" w:color="auto" w:sz="6" w:space="0"/>
            </w:tcBorders>
            <w:shd w:val="clear" w:color="auto" w:fill="auto"/>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946" w:type="dxa"/>
            <w:tcBorders>
              <w:top w:val="single" w:color="auto" w:sz="6" w:space="0"/>
            </w:tcBorders>
            <w:shd w:val="clear" w:color="auto" w:fill="D9D9D9"/>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03"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2268"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2269" w:type="dxa"/>
            <w:tcBorders>
              <w:top w:val="single" w:color="auto"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946"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r>
    </w:tbl>
    <w:p>
      <w:pPr>
        <w:spacing w:line="360" w:lineRule="auto"/>
        <w:ind w:firstLine="480" w:firstLineChars="200"/>
        <w:rPr>
          <w:rFonts w:hint="default" w:ascii="Times New Roman" w:hAnsi="Times New Roman" w:eastAsia="宋体" w:cs="Times New Roman"/>
          <w:color w:val="auto"/>
          <w:sz w:val="24"/>
        </w:rPr>
      </w:pPr>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157" w:name="_Toc30485"/>
      <w:bookmarkStart w:id="158" w:name="_Toc12605"/>
      <w:bookmarkStart w:id="159" w:name="_Toc467163606"/>
      <w:bookmarkStart w:id="160" w:name="_Toc479591758"/>
      <w:bookmarkStart w:id="161" w:name="_Toc467592200"/>
      <w:bookmarkStart w:id="162" w:name="_Toc454288973"/>
      <w:bookmarkStart w:id="163" w:name="_Toc426559816"/>
      <w:bookmarkStart w:id="164" w:name="_Toc453594004"/>
      <w:bookmarkStart w:id="165" w:name="_Toc374709536"/>
      <w:bookmarkStart w:id="166" w:name="_Toc374709274"/>
      <w:bookmarkStart w:id="167" w:name="_Toc372208415"/>
      <w:bookmarkStart w:id="168" w:name="_Toc372208217"/>
      <w:bookmarkStart w:id="169" w:name="_Toc370219695"/>
      <w:bookmarkStart w:id="170" w:name="_Toc311748003"/>
      <w:r>
        <w:rPr>
          <w:rFonts w:hint="default" w:ascii="Times New Roman" w:hAnsi="Times New Roman" w:eastAsia="宋体" w:cs="Times New Roman"/>
          <w:color w:val="auto"/>
          <w:sz w:val="24"/>
          <w:szCs w:val="24"/>
        </w:rPr>
        <w:t>2.2 评价范围</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按《环境影响评价技术导则 地下水环境》要求，地下水环境调查评价范围包括</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sz w:val="24"/>
          <w:szCs w:val="24"/>
        </w:rPr>
        <w:t>及附近与之相关的地下水环境保护目标。</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结合项目可能的影响、地形地貌等条件，将地下水现状调查评价范围统一考虑，面积约6.0km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。调查评价范围见图2-1。</w:t>
      </w:r>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171" w:name="_Toc17120"/>
      <w:bookmarkStart w:id="172" w:name="_Toc3789"/>
      <w:bookmarkStart w:id="173" w:name="_Toc10651"/>
      <w:bookmarkStart w:id="174" w:name="_Toc370219697"/>
      <w:bookmarkStart w:id="175" w:name="_Toc366482312"/>
      <w:bookmarkStart w:id="176" w:name="_Toc333505488"/>
      <w:r>
        <w:rPr>
          <w:rFonts w:hint="default" w:ascii="Times New Roman" w:hAnsi="Times New Roman" w:eastAsia="宋体" w:cs="Times New Roman"/>
          <w:color w:val="auto"/>
          <w:sz w:val="24"/>
          <w:szCs w:val="24"/>
        </w:rPr>
        <w:t>2.3 地下水环境保护目标</w:t>
      </w:r>
      <w:bookmarkEnd w:id="171"/>
      <w:bookmarkEnd w:id="172"/>
      <w:bookmarkEnd w:id="173"/>
      <w:bookmarkEnd w:id="174"/>
      <w:bookmarkEnd w:id="175"/>
      <w:bookmarkEnd w:id="176"/>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1、受保护的含水层</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根据本项目区域的水文地质条件，确定评价区内的第四系松散岩类孔隙含水层、碳酸盐类岩溶含水层为地下水环境影响评价目标含水层和地下水环境保护目标。</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2、杏园</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color w:val="auto"/>
          <w:sz w:val="24"/>
          <w:szCs w:val="24"/>
        </w:rPr>
        <w:t>集中供水水源地</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本项目不在杏园</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bCs/>
          <w:color w:val="auto"/>
          <w:sz w:val="24"/>
          <w:szCs w:val="24"/>
        </w:rPr>
        <w:t>集中供水水源地保护区范围内，与水源地一级保护区边界最近距离约3.06km，不设二级保护区。</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见地下水环境保护目标表4-4。</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表4-4    地下水环境保护目标一览表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531"/>
        <w:gridCol w:w="2592"/>
        <w:gridCol w:w="900"/>
        <w:gridCol w:w="825"/>
        <w:gridCol w:w="1080"/>
        <w:gridCol w:w="1701"/>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49"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4506" w:type="dxa"/>
            <w:gridSpan w:val="4"/>
            <w:noWrap/>
            <w:vAlign w:val="center"/>
          </w:tcPr>
          <w:p>
            <w:pPr>
              <w:spacing w:line="240" w:lineRule="auto"/>
              <w:ind w:firstLine="47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基本情况</w:t>
            </w:r>
          </w:p>
        </w:tc>
        <w:tc>
          <w:tcPr>
            <w:tcW w:w="1231"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庄</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w:t>
            </w:r>
          </w:p>
        </w:tc>
        <w:tc>
          <w:tcPr>
            <w:tcW w:w="3123" w:type="dxa"/>
            <w:gridSpan w:val="2"/>
            <w:noWrap/>
            <w:vAlign w:val="center"/>
          </w:tcPr>
          <w:p>
            <w:pPr>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水井</w:t>
            </w:r>
          </w:p>
        </w:tc>
        <w:tc>
          <w:tcPr>
            <w:tcW w:w="900" w:type="dxa"/>
            <w:tcBorders>
              <w:right w:val="single" w:color="000000" w:sz="6" w:space="0"/>
            </w:tcBorders>
            <w:noWrap/>
            <w:vAlign w:val="center"/>
          </w:tcPr>
          <w:p>
            <w:pPr>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井深</w:t>
            </w:r>
          </w:p>
          <w:p>
            <w:pPr>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t>水位（m）</w:t>
            </w:r>
          </w:p>
        </w:tc>
        <w:tc>
          <w:tcPr>
            <w:tcW w:w="1080" w:type="dxa"/>
            <w:tcBorders>
              <w:right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用途</w:t>
            </w:r>
          </w:p>
        </w:tc>
        <w:tc>
          <w:tcPr>
            <w:tcW w:w="1701" w:type="dxa"/>
            <w:tcBorders>
              <w:left w:val="single" w:color="auto" w:sz="4" w:space="0"/>
            </w:tcBorders>
            <w:noWrap/>
            <w:vAlign w:val="center"/>
          </w:tcPr>
          <w:p>
            <w:pPr>
              <w:autoSpaceDN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所属含水层</w:t>
            </w:r>
          </w:p>
        </w:tc>
        <w:tc>
          <w:tcPr>
            <w:tcW w:w="1231" w:type="dxa"/>
            <w:vMerge w:val="restart"/>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质量标准</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14</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848-2017）</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Ⅲ类水质</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531"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bCs/>
                <w:color w:val="auto"/>
              </w:rPr>
              <w:t>#</w:t>
            </w:r>
          </w:p>
        </w:tc>
        <w:tc>
          <w:tcPr>
            <w:tcW w:w="2592"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瑞迪航空</w:t>
            </w:r>
          </w:p>
        </w:tc>
        <w:tc>
          <w:tcPr>
            <w:tcW w:w="900" w:type="dxa"/>
            <w:tcBorders>
              <w:righ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80"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生活饮用</w:t>
            </w:r>
          </w:p>
        </w:tc>
        <w:tc>
          <w:tcPr>
            <w:tcW w:w="1701"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第四系孔隙潜水</w:t>
            </w:r>
          </w:p>
        </w:tc>
        <w:tc>
          <w:tcPr>
            <w:tcW w:w="1231" w:type="dxa"/>
            <w:vMerge w:val="continue"/>
            <w:noWrap/>
            <w:vAlign w:val="center"/>
          </w:tcPr>
          <w:p>
            <w:pPr>
              <w:spacing w:line="240" w:lineRule="auto"/>
              <w:ind w:firstLine="473"/>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531"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bCs/>
                <w:color w:val="auto"/>
              </w:rPr>
              <w:t>#</w:t>
            </w:r>
          </w:p>
        </w:tc>
        <w:tc>
          <w:tcPr>
            <w:tcW w:w="2592"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笔峰村</w:t>
            </w:r>
          </w:p>
        </w:tc>
        <w:tc>
          <w:tcPr>
            <w:tcW w:w="900" w:type="dxa"/>
            <w:tcBorders>
              <w:righ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080"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生活饮用</w:t>
            </w:r>
          </w:p>
        </w:tc>
        <w:tc>
          <w:tcPr>
            <w:tcW w:w="1701" w:type="dxa"/>
            <w:tcBorders>
              <w:left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c>
          <w:tcPr>
            <w:tcW w:w="1231" w:type="dxa"/>
            <w:vMerge w:val="continue"/>
            <w:noWrap/>
            <w:vAlign w:val="center"/>
          </w:tcPr>
          <w:p>
            <w:pPr>
              <w:spacing w:line="240" w:lineRule="auto"/>
              <w:ind w:firstLine="473"/>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531"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bCs/>
                <w:color w:val="auto"/>
              </w:rPr>
              <w:t>#</w:t>
            </w:r>
          </w:p>
        </w:tc>
        <w:tc>
          <w:tcPr>
            <w:tcW w:w="2592"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城关二村村</w:t>
            </w:r>
          </w:p>
        </w:tc>
        <w:tc>
          <w:tcPr>
            <w:tcW w:w="900" w:type="dxa"/>
            <w:tcBorders>
              <w:righ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080"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生活饮用</w:t>
            </w:r>
          </w:p>
        </w:tc>
        <w:tc>
          <w:tcPr>
            <w:tcW w:w="1701" w:type="dxa"/>
            <w:tcBorders>
              <w:left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c>
          <w:tcPr>
            <w:tcW w:w="1231" w:type="dxa"/>
            <w:vMerge w:val="continue"/>
            <w:noWrap/>
            <w:vAlign w:val="center"/>
          </w:tcPr>
          <w:p>
            <w:pPr>
              <w:spacing w:line="240" w:lineRule="auto"/>
              <w:ind w:firstLine="473"/>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531"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default" w:ascii="Times New Roman" w:hAnsi="Times New Roman" w:eastAsia="宋体" w:cs="Times New Roman"/>
                <w:bCs/>
                <w:color w:val="auto"/>
              </w:rPr>
              <w:t>#</w:t>
            </w:r>
          </w:p>
        </w:tc>
        <w:tc>
          <w:tcPr>
            <w:tcW w:w="2592"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繁峙县腾飞矿业有限责任公司笔峰选厂分公司</w:t>
            </w:r>
          </w:p>
        </w:tc>
        <w:tc>
          <w:tcPr>
            <w:tcW w:w="900" w:type="dxa"/>
            <w:tcBorders>
              <w:righ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080"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生活饮用</w:t>
            </w:r>
          </w:p>
        </w:tc>
        <w:tc>
          <w:tcPr>
            <w:tcW w:w="1701" w:type="dxa"/>
            <w:tcBorders>
              <w:left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c>
          <w:tcPr>
            <w:tcW w:w="1231" w:type="dxa"/>
            <w:vMerge w:val="continue"/>
            <w:noWrap/>
            <w:vAlign w:val="center"/>
          </w:tcPr>
          <w:p>
            <w:pPr>
              <w:spacing w:line="240" w:lineRule="auto"/>
              <w:ind w:firstLine="473"/>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531"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bCs/>
                <w:color w:val="auto"/>
              </w:rPr>
              <w:t>#</w:t>
            </w:r>
          </w:p>
        </w:tc>
        <w:tc>
          <w:tcPr>
            <w:tcW w:w="2592"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繁峙县兴隆矿业有限公司</w:t>
            </w:r>
          </w:p>
        </w:tc>
        <w:tc>
          <w:tcPr>
            <w:tcW w:w="900" w:type="dxa"/>
            <w:tcBorders>
              <w:righ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80"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生活饮用</w:t>
            </w:r>
          </w:p>
        </w:tc>
        <w:tc>
          <w:tcPr>
            <w:tcW w:w="1701" w:type="dxa"/>
            <w:tcBorders>
              <w:left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c>
          <w:tcPr>
            <w:tcW w:w="1231" w:type="dxa"/>
            <w:vMerge w:val="continue"/>
            <w:noWrap/>
            <w:vAlign w:val="center"/>
          </w:tcPr>
          <w:p>
            <w:pPr>
              <w:spacing w:line="240" w:lineRule="auto"/>
              <w:ind w:firstLine="473"/>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c>
          <w:tcPr>
            <w:tcW w:w="531"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592" w:type="dxa"/>
            <w:tcBorders>
              <w:lef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kern w:val="2"/>
              </w:rPr>
              <w:t>西义</w:t>
            </w:r>
            <w:r>
              <w:rPr>
                <w:rFonts w:hint="default" w:ascii="Times New Roman" w:hAnsi="Times New Roman" w:eastAsia="宋体" w:cs="Times New Roman"/>
                <w:color w:val="auto"/>
              </w:rPr>
              <w:t>村</w:t>
            </w:r>
          </w:p>
        </w:tc>
        <w:tc>
          <w:tcPr>
            <w:tcW w:w="900" w:type="dxa"/>
            <w:tcBorders>
              <w:righ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825" w:type="dxa"/>
            <w:tcBorders>
              <w:left w:val="single" w:color="000000" w:sz="6"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80" w:type="dxa"/>
            <w:tcBorders>
              <w:right w:val="single" w:color="auto" w:sz="4" w:space="0"/>
            </w:tcBorders>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生活饮用</w:t>
            </w:r>
          </w:p>
        </w:tc>
        <w:tc>
          <w:tcPr>
            <w:tcW w:w="1701" w:type="dxa"/>
            <w:tcBorders>
              <w:left w:val="single" w:color="auto" w:sz="4" w:space="0"/>
            </w:tcBorders>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c>
          <w:tcPr>
            <w:tcW w:w="1231" w:type="dxa"/>
            <w:vMerge w:val="continue"/>
            <w:noWrap/>
            <w:vAlign w:val="center"/>
          </w:tcPr>
          <w:p>
            <w:pPr>
              <w:spacing w:line="240" w:lineRule="auto"/>
              <w:ind w:firstLine="473"/>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49"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含水层</w:t>
            </w:r>
          </w:p>
        </w:tc>
        <w:tc>
          <w:tcPr>
            <w:tcW w:w="4506" w:type="dxa"/>
            <w:gridSpan w:val="4"/>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第四系松散岩类孔隙含水层、</w:t>
            </w:r>
          </w:p>
        </w:tc>
        <w:tc>
          <w:tcPr>
            <w:tcW w:w="123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49" w:type="dxa"/>
            <w:gridSpan w:val="3"/>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杏园</w:t>
            </w:r>
            <w:r>
              <w:rPr>
                <w:rFonts w:hint="default" w:ascii="Times New Roman" w:hAnsi="Times New Roman" w:eastAsia="宋体" w:cs="Times New Roman"/>
                <w:color w:val="auto"/>
                <w:sz w:val="21"/>
                <w:szCs w:val="21"/>
                <w:lang w:eastAsia="zh-CN"/>
              </w:rPr>
              <w:t>镇</w:t>
            </w:r>
            <w:r>
              <w:rPr>
                <w:rFonts w:hint="default" w:ascii="Times New Roman" w:hAnsi="Times New Roman" w:eastAsia="宋体" w:cs="Times New Roman"/>
                <w:color w:val="auto"/>
                <w:sz w:val="21"/>
                <w:szCs w:val="21"/>
              </w:rPr>
              <w:t>集中供水水源地</w:t>
            </w:r>
          </w:p>
        </w:tc>
        <w:tc>
          <w:tcPr>
            <w:tcW w:w="4506" w:type="dxa"/>
            <w:gridSpan w:val="4"/>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本项目不在杏园</w:t>
            </w:r>
            <w:r>
              <w:rPr>
                <w:rFonts w:hint="default" w:ascii="Times New Roman" w:hAnsi="Times New Roman" w:eastAsia="宋体" w:cs="Times New Roman"/>
                <w:color w:val="auto"/>
                <w:sz w:val="21"/>
                <w:szCs w:val="21"/>
                <w:lang w:eastAsia="zh-CN"/>
              </w:rPr>
              <w:t>镇</w:t>
            </w:r>
            <w:r>
              <w:rPr>
                <w:rFonts w:hint="default" w:ascii="Times New Roman" w:hAnsi="Times New Roman" w:eastAsia="宋体" w:cs="Times New Roman"/>
                <w:color w:val="auto"/>
                <w:sz w:val="21"/>
                <w:szCs w:val="21"/>
              </w:rPr>
              <w:t>集中供水水源地保护区范围内，与水源地一级保护区边界最近距离约3.06km。</w:t>
            </w:r>
          </w:p>
        </w:tc>
        <w:tc>
          <w:tcPr>
            <w:tcW w:w="1231" w:type="dxa"/>
            <w:vMerge w:val="continue"/>
            <w:noWrap/>
            <w:vAlign w:val="center"/>
          </w:tcPr>
          <w:p>
            <w:pPr>
              <w:spacing w:line="240" w:lineRule="auto"/>
              <w:jc w:val="center"/>
              <w:rPr>
                <w:rFonts w:hint="default" w:ascii="Times New Roman" w:hAnsi="Times New Roman" w:eastAsia="宋体" w:cs="Times New Roman"/>
                <w:color w:val="auto"/>
                <w:sz w:val="21"/>
                <w:szCs w:val="21"/>
              </w:rPr>
            </w:pPr>
          </w:p>
        </w:tc>
      </w:tr>
    </w:tbl>
    <w:p>
      <w:pPr>
        <w:spacing w:line="360" w:lineRule="auto"/>
        <w:rPr>
          <w:rFonts w:hint="default" w:ascii="Times New Roman" w:hAnsi="Times New Roman" w:eastAsia="宋体" w:cs="Times New Roman"/>
          <w:b/>
          <w:color w:val="auto"/>
          <w:sz w:val="24"/>
        </w:rPr>
      </w:pPr>
    </w:p>
    <w:p>
      <w:pPr>
        <w:pStyle w:val="75"/>
        <w:ind w:firstLine="241"/>
        <w:rPr>
          <w:rFonts w:hint="default" w:ascii="Times New Roman" w:hAnsi="Times New Roman" w:eastAsia="宋体" w:cs="Times New Roman"/>
          <w:b/>
          <w:color w:val="auto"/>
          <w:sz w:val="24"/>
        </w:rPr>
      </w:pPr>
    </w:p>
    <w:p>
      <w:pPr>
        <w:pStyle w:val="76"/>
        <w:ind w:firstLine="482"/>
        <w:rPr>
          <w:rFonts w:hint="default" w:ascii="Times New Roman" w:hAnsi="Times New Roman" w:eastAsia="宋体" w:cs="Times New Roman"/>
          <w:b/>
          <w:color w:val="auto"/>
        </w:rPr>
      </w:pPr>
    </w:p>
    <w:p>
      <w:pPr>
        <w:pStyle w:val="76"/>
        <w:ind w:firstLine="482"/>
        <w:rPr>
          <w:rFonts w:hint="default" w:ascii="Times New Roman" w:hAnsi="Times New Roman" w:eastAsia="宋体" w:cs="Times New Roman"/>
          <w:b/>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pageBreakBefore w:val="0"/>
        <w:widowControl w:val="0"/>
        <w:kinsoku/>
        <w:wordWrap/>
        <w:overflowPunct/>
        <w:topLinePunct w:val="0"/>
        <w:autoSpaceDE/>
        <w:autoSpaceDN/>
        <w:bidi w:val="0"/>
        <w:adjustRightInd/>
        <w:snapToGrid/>
        <w:spacing w:before="0" w:after="0" w:line="480" w:lineRule="exact"/>
        <w:jc w:val="both"/>
        <w:textAlignment w:val="auto"/>
        <w:rPr>
          <w:rFonts w:hint="default" w:ascii="Times New Roman" w:hAnsi="Times New Roman" w:eastAsia="宋体" w:cs="Times New Roman"/>
          <w:color w:val="auto"/>
          <w:sz w:val="24"/>
          <w:szCs w:val="24"/>
        </w:rPr>
      </w:pPr>
      <w:bookmarkStart w:id="177" w:name="_Toc333505496"/>
      <w:bookmarkStart w:id="178" w:name="_Toc323985006"/>
      <w:bookmarkStart w:id="179" w:name="_Toc366482320"/>
      <w:bookmarkStart w:id="180" w:name="_Toc19471"/>
      <w:bookmarkStart w:id="181" w:name="_Toc32641"/>
      <w:r>
        <w:rPr>
          <w:rFonts w:hint="default" w:ascii="Times New Roman" w:hAnsi="Times New Roman" w:eastAsia="宋体" w:cs="Times New Roman"/>
          <w:color w:val="auto"/>
          <w:sz w:val="24"/>
          <w:szCs w:val="24"/>
        </w:rPr>
        <w:t>3  地质与水文地质条件</w:t>
      </w:r>
      <w:bookmarkEnd w:id="177"/>
      <w:bookmarkEnd w:id="178"/>
      <w:bookmarkEnd w:id="179"/>
      <w:bookmarkEnd w:id="180"/>
      <w:bookmarkEnd w:id="181"/>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182" w:name="_Toc25853"/>
      <w:bookmarkStart w:id="183" w:name="_Toc19456"/>
      <w:r>
        <w:rPr>
          <w:rFonts w:hint="default" w:ascii="Times New Roman" w:hAnsi="Times New Roman" w:eastAsia="宋体" w:cs="Times New Roman"/>
          <w:color w:val="auto"/>
          <w:sz w:val="24"/>
          <w:szCs w:val="24"/>
        </w:rPr>
        <w:t>3.1 区域地质与水文地质条件</w:t>
      </w:r>
      <w:bookmarkEnd w:id="182"/>
      <w:bookmarkEnd w:id="183"/>
    </w:p>
    <w:p>
      <w:pPr>
        <w:pStyle w:val="6"/>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rPr>
      </w:pPr>
      <w:bookmarkStart w:id="184" w:name="_Toc520448987"/>
      <w:bookmarkStart w:id="185" w:name="_Toc520449225"/>
      <w:bookmarkStart w:id="186" w:name="_Toc30748"/>
      <w:bookmarkStart w:id="187" w:name="_Toc28799"/>
      <w:r>
        <w:rPr>
          <w:rFonts w:hint="default" w:ascii="Times New Roman" w:hAnsi="Times New Roman" w:eastAsia="宋体" w:cs="Times New Roman"/>
          <w:color w:val="auto"/>
          <w:sz w:val="24"/>
        </w:rPr>
        <w:t>3.1.1 区域地质</w:t>
      </w:r>
      <w:bookmarkEnd w:id="184"/>
      <w:bookmarkEnd w:id="185"/>
      <w:r>
        <w:rPr>
          <w:rFonts w:hint="default" w:ascii="Times New Roman" w:hAnsi="Times New Roman" w:eastAsia="宋体" w:cs="Times New Roman"/>
          <w:color w:val="auto"/>
          <w:sz w:val="24"/>
        </w:rPr>
        <w:t>构造</w:t>
      </w:r>
      <w:bookmarkEnd w:id="186"/>
      <w:bookmarkEnd w:id="187"/>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滹沱河阶地，为新生界第四系黄土覆盖。两边丘陵区系新生界第四系地层。</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北部山区角峪河流域出露的基岩全部为五台群变质岩（AW），新生界地区角度不整合与其上。新生界地层，计有下更新统（Q1）、中更新统（Q2）、上更新统（Q3）、全新统（Q4）均呈不整合接触关系。其中下更新统分布较局限。仅残存于义兴寨至上角峪一带的半山上，并为中、上更新统所覆盖，为现代沟谷所分割。而上更新统的黄土则在侧区内分布。</w:t>
      </w:r>
    </w:p>
    <w:p>
      <w:pPr>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3.1.1.1区域地层岩性</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繁峙县境内出露地层以上太古界五台系为主，其次为中太古界，下古生界和新生界。自繁峙县南部往北逐渐变新，分述如下：</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（1）太古界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①中太古界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中太古界为山西省最古老的地层，阜平群及龙泉关群二者呈北东向分布于本县东南端，这套地层由片麻岩、少量浅粒岩、大量岩、斜长角闪岩、磁铁石英岩组成。一般以含石墨、蛇纹石、金云母等粗结晶白去岩大理岩的特征。</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②上太古界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上太古界五台系以恒山——五台山——云中山的五台群为代表，包括石咀亚群和台怀亚群，主要是一套由火山岩，沉积岩经变质而形成的片麻岩、变粒岩、石英岩、各类片岩、磁铁石英岩、角闪岩及大理岩组成。与下状中太古界地层呈不整合接触。</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滹沱河以北义头寨——柏家庄——带也为大片上太古界五台系石咀亚群金刚库组、庄旺组和恒山杂岩分布区。</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（2）元古界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①下元古界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下元古界滹沱群为一套浅变质岩系，分布于县西南中台、西台附近。主要由变质砾岩、石英岩、千枚岩、结晶白云岩组成，夹有变质基性火山岩。岩石变质程度较低，一般为板岩至绿片岩相。下元古界可分为三个部分；下部以碎屑岩一碳酸盐岩组成；中部以碳酸盐岩为主，上部主要由变质砾岩、长石石英岩、板岩或千枚岩组成。</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②中元古界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中元古界不整合于不同时代的变质岩系之上，自下而上可分为长城系和蓟县系。五台山发育有长城系高于庄组，岩性以含遂石结构及条带白云岩为主，底部为石英砂岩。</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（3）古生界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下古生界寒武系、奥陶系地层分布于滹沱河以南南峪口、小柏峪、宽滩和岩头一带。</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①寒武系</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以碳酸盐岩、泥质岩相沉积为主。下统以砂岩、页岩、泥灰岩为主，中统的下部由碎屑岩及碳酸岩组成；中部为紫红色页岩夹灰岩；上部为石灰岩、鲕状灰岩。</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上统的下部为薄层泥质条带灰岩、竹叶状灰岩：中部为竹叶状灰岩或页岩，上部为白云岩、白云质灰岩。</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②奥陶系</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以碳酸盐类沉积为主，富含动物化石，一般厚400～500m。</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下统以白云岩，含燧石条带或结核白云岩为主，底部为黄绿色页岩为薄层白云岩。</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中统下部（下马家沟组）为砂砾岩、页岩、角砾状灰岩；中部（上马家沟组）以灰岩、豹皮灰岩为主，含石膏；下部（峰峰组）为白云质泥灰岩含石膏，夹厚层灰岩及质地较纯的灰岩。</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（4）新生界</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①第三系</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下第三系玄武岩，分布于县城以北，出露面积550km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厚800m。玄武岩微向滹沱河谷倾斜，最大倾角小于15°，溶岩为灰、黑色租玄武岩、橄榄粗玄武岩夹中细粒橄榄玄武岩。具多韵律、多旋回的层状构造，其间有数个玄武岩喷发间断风化面，其气孔上部小而多，下部大而少，并常见烘烤现象。</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上第三系广泛分布于盆地深部，以褐红色粘性为主，夹薄层砂砾石层，这山为残积相红土。</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②第四系</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分布在山间河谷及滹沱河断陷盆地内，成因类型多，成分复杂。</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a、下更新统：</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在山区沟谷中零星出露，主要岩相为河湖相和冲洪积相。下部为砂卵石层，上部为砂质黄土夹薄层砂砾石透镜体。盆地中埋深50～120m，岩性为洪积的砂、卵砾石。</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b、中更新统</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在黄土丘陵区沟谷中出露，盆地区广泛分布。属冲积及洪积相成因，厚度20～90m。洪积相成因地层在洪积扇轴部以卵砾石为主，扇间洼地为亚砂土夹古土壤层；洪积层沿滹沱河两岩分布，岩性为砂、卵砾。盆地中埋深20～50m。</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盆地广泛分布。成因类型为坡洪积、洪积相。总厚30～40m。坡洪积层分布在黄土丘陵区顶部与山间沟谷两侧，岩性为粉土质亚砂土，垂直节理发育；洪积层主要发育在洪积扇区，岩性为亚砂土、亚粘士．夹卵砾石层；冲积层分布在滹宽经河两岩地带与洪积层交替沉积，岩性为亚砂土夹中细砂。</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c、全新统</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呈条带状分布于滹沱河及倾斜平原的沟谷中，厚度较小，为l～l0m，成因类型为冲积物及洪积物。</w:t>
      </w:r>
    </w:p>
    <w:p>
      <w:pPr>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3.1.1.2区域饮用水水源地保护区划</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繁峙县乡镇集中式饮用水水源地保护区划分技术报告》，繁峙县乡镇集中式饮用水水源地共有12处，分别为柏家庄乡集中供水水源、大营镇集中供水水源、金山铺集中供水水源、沙河镇集中供水水源、集义乡集中供水水源、下茹越乡集中供水水源、东山乡集中供水水源、杏园镇集中供水水源、光裕堡集中供水水源、岩头乡集中供水水源、横涧乡集中供水水源和神堂堡乡集中供水水源。</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杏园镇集中供水水源地：</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开采50m以中更新统孔隙水，0-43m全部采用红土球止水，静止水位38m，高于隔水底板12m，按地下水埋藏条件及含水介质视为承压水。水井设一级保护区，保护区半径120m，不设二级保护区。</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本项目距离最近的繁峙县饮用水水源地为杏园镇集中供水水源，距离本项目3.06km。本项目不在各乡镇水源地保护区范围内。</w:t>
      </w:r>
    </w:p>
    <w:p>
      <w:pPr>
        <w:pStyle w:val="6"/>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rPr>
      </w:pPr>
      <w:bookmarkStart w:id="188" w:name="_Toc1414"/>
      <w:bookmarkStart w:id="189" w:name="_Toc13994"/>
      <w:r>
        <w:rPr>
          <w:rFonts w:hint="default" w:ascii="Times New Roman" w:hAnsi="Times New Roman" w:eastAsia="宋体" w:cs="Times New Roman"/>
          <w:color w:val="auto"/>
          <w:sz w:val="24"/>
        </w:rPr>
        <w:t>3.1.2 区域水文地质条件</w:t>
      </w:r>
      <w:bookmarkEnd w:id="188"/>
      <w:bookmarkEnd w:id="189"/>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根据地下水赋存条件、水理性质及水力特征，项目区域地下水类型主要为松散岩类孔隙水和变质岩类裂隙水。</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（1）松散岩类孔隙水</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①含水层及埋深情况</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松散岩类孔隙水主要分布在黑界沟、四道沟、羊眼河和兔儿河河谷区，宽几十米至千米。含水岩组为第四系全新统。含水层岩性为冲、洪积砂砾石疏松河床沉积物，厚几十厘米至20m以上。孔隙水水位标高与当地河床水位一致。含水层富水性中等，标准井（井径300mm，降深5m）单井涌水量50～500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第四系上更新统一般分布在丘陵山梁峁低缓地带，厚十几厘米至30m余，大多透水但不含水，局部存在上层滞水，富水性一般极弱，标准井单井涌水量&lt;10m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②补、径、排情况</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孔隙水补给来源主要有大气降水、河水及两侧基岩裂隙水等。地下水径流主体从上游向下游流动，横向上从河谷两侧向河床中心径流。以向河谷下游径流排泄为主，人工开发与蒸发排泄为辅。</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（2）变质岩类裂隙水</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①含水层及埋深情况</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变质岩类裂隙水大面积分布于基岩山区。含水岩组主要为五台群石咀亚群金刚库组，属弱含水层，按储水构造分风化裂隙潜水和构造裂隙水两类。</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a、风化裂隙潜水</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赋存在基岩近表部风化裂隙带中，多呈面状分布。风化裂隙带厚度一般30～50m，最厚可达70～80m。在山区山坡地带，一般不会形成统一地下水位，沿地势从高向低处汇流，极少在低洼处遇阻涌出成泉，泉流量一般小于0.1L/s，富水性极弱；河谷区呈埋藏型，汇聚后可形成统一地下水位，泉流量一般可达0.1～l0L/s，富水性弱-中等。</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b、构造裂隙水</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赋存在基岩构造裂隙带中，多呈线状或条带状分布。构造裂隙水富水性与断层规模及其性质有密切关系，压扭性断裂或断裂规模较小时，富水性较弱，泉流量多小于1L/s，较大断裂带并呈张性时，富水程度一般较强，泉流量可达10L/s以上。</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②补、径、排情况</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该类地下水主要靠大气降水补给，高处向低处汇流，地下水的排泄主要排向河谷，少量向深部径流，补给或储存于深部构造裂隙中。</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（3）碳酸盐岩岩溶裂隙水</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分布于砂河北和西南的山区，受构造影响，岩溶裂隙发育，透水性较好，大气降水入渗迅速，该含水岩类出露面积小，被相对隔水的古老片麻岩所包围，形成良好的储水条件。</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繁峙县水文地质图</w:t>
      </w:r>
      <w:r>
        <w:rPr>
          <w:rFonts w:hint="eastAsia" w:cs="Times New Roman"/>
          <w:color w:val="auto"/>
          <w:sz w:val="24"/>
          <w:szCs w:val="24"/>
          <w:lang w:eastAsia="zh-CN"/>
        </w:rPr>
        <w:t>略</w:t>
      </w:r>
      <w:r>
        <w:rPr>
          <w:rFonts w:hint="default" w:ascii="Times New Roman" w:hAnsi="Times New Roman" w:eastAsia="宋体" w:cs="Times New Roman"/>
          <w:b/>
          <w:bCs/>
          <w:color w:val="auto"/>
          <w:sz w:val="24"/>
          <w:szCs w:val="24"/>
        </w:rPr>
        <w:t>。</w:t>
      </w:r>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190" w:name="_Toc2893"/>
      <w:bookmarkStart w:id="191" w:name="_Toc12411"/>
      <w:r>
        <w:rPr>
          <w:rFonts w:hint="default" w:ascii="Times New Roman" w:hAnsi="Times New Roman" w:eastAsia="宋体" w:cs="Times New Roman"/>
          <w:color w:val="auto"/>
          <w:sz w:val="24"/>
          <w:szCs w:val="24"/>
        </w:rPr>
        <w:t>3.2 调查评价区水文地质条件</w:t>
      </w:r>
      <w:bookmarkEnd w:id="190"/>
      <w:bookmarkEnd w:id="191"/>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（一）地层结构</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本项目距离杏园</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color w:val="auto"/>
          <w:sz w:val="24"/>
          <w:szCs w:val="24"/>
        </w:rPr>
        <w:t>饮用水源地较近，项目距离饮用水水源井3.06km，因此本项目引用水源地水源井的水井柱状图。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本项目评价区地层主要为：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全新统：呈条带状分布于滹沱河及倾斜平原的沟谷中，厚度较小，为l～l0m，成因类型为冲积物及洪积物。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中更新统：在黄土丘陵区沟谷中出露，盆地区广泛分布。属冲积及洪积相成因，厚度20-90m。洪积相成因地层在洪积扇轴部以卵砾石为主，扇间洼地为亚砂土夹古土壤层；洪积层沿滹沱河两岩分布，岩性为砂、卵砾。盆地中埋深20～50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盆地广泛分布。成因类型为坡洪积、洪积相。总厚30～40 m。坡洪积层分布在黄土丘陵区顶部与山间沟谷两侧，岩性为粉土质亚砂土，垂直节理发育；洪积层主要发育在洪积扇区，岩性为亚砂土、亚粘士、夹卵砾石层；冲积层分布在滹宽经河两岩地带与洪积层交替沉积，岩性为亚砂土夹中细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（二）地下水分布与埋藏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区为第四系松散岩类孔隙水，含水层以含中、粗砂为主，赋存于冲洪积、坡洪积中，地层为中更新统，含水层为40m，含水层富水性中等，本区上部地层为杂填土及粉质粘土，中部为砂层，下部为粗砂、长石、石英。砂卵石层孔隙发达，为地下水提供了充足的存储空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 地下水补给、径流、排泄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孔隙水补给来源主要有大气降水、河水及两侧基岩裂隙水等。地下水径流主体从上游向下游流动，横向上从河谷两侧向河床中心径流。以向河谷下游径流排泄为主，人工开发与蒸发排泄为辅。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本次地下水评价主要考虑项目对松散岩类孔隙水的影响。</w:t>
      </w: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pStyle w:val="4"/>
        <w:pageBreakBefore w:val="0"/>
        <w:widowControl w:val="0"/>
        <w:kinsoku/>
        <w:wordWrap/>
        <w:overflowPunct/>
        <w:topLinePunct w:val="0"/>
        <w:autoSpaceDE/>
        <w:autoSpaceDN/>
        <w:bidi w:val="0"/>
        <w:adjustRightInd/>
        <w:snapToGrid/>
        <w:spacing w:before="0" w:after="0" w:line="480" w:lineRule="exact"/>
        <w:jc w:val="both"/>
        <w:textAlignment w:val="auto"/>
        <w:rPr>
          <w:rFonts w:hint="default" w:ascii="Times New Roman" w:hAnsi="Times New Roman" w:eastAsia="宋体" w:cs="Times New Roman"/>
          <w:color w:val="auto"/>
          <w:sz w:val="24"/>
          <w:szCs w:val="24"/>
        </w:rPr>
      </w:pPr>
      <w:bookmarkStart w:id="192" w:name="_Toc32620"/>
      <w:bookmarkStart w:id="193" w:name="_Toc4530"/>
      <w:r>
        <w:rPr>
          <w:rFonts w:hint="default" w:ascii="Times New Roman" w:hAnsi="Times New Roman" w:eastAsia="宋体" w:cs="Times New Roman"/>
          <w:color w:val="auto"/>
          <w:sz w:val="24"/>
          <w:szCs w:val="24"/>
        </w:rPr>
        <w:t>4  地下水环境质量现状评价</w:t>
      </w:r>
      <w:bookmarkEnd w:id="192"/>
      <w:bookmarkEnd w:id="193"/>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194" w:name="_Toc14684"/>
      <w:bookmarkStart w:id="195" w:name="_Toc4617"/>
      <w:r>
        <w:rPr>
          <w:rFonts w:hint="default" w:ascii="Times New Roman" w:hAnsi="Times New Roman" w:eastAsia="宋体" w:cs="Times New Roman"/>
          <w:color w:val="auto"/>
          <w:sz w:val="24"/>
          <w:szCs w:val="24"/>
        </w:rPr>
        <w:t>4.1 现状监测</w:t>
      </w:r>
      <w:bookmarkEnd w:id="194"/>
      <w:bookmarkEnd w:id="195"/>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1、监测点布置</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结合地下水流向及当地井位情况，根据评价区的水文地质特征，布设3个水质监测点，6个水位监测点，布点情况见表4-5，监测布点图</w:t>
      </w:r>
      <w:r>
        <w:rPr>
          <w:rFonts w:hint="eastAsia" w:cs="Times New Roman"/>
          <w:b/>
          <w:bCs/>
          <w:color w:val="auto"/>
          <w:sz w:val="24"/>
          <w:szCs w:val="24"/>
          <w:lang w:eastAsia="zh-CN"/>
        </w:rPr>
        <w:t>略</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表4-5    地下水监测布点及水位监测结果一览表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2"/>
        <w:gridCol w:w="2145"/>
        <w:gridCol w:w="1290"/>
        <w:gridCol w:w="1245"/>
        <w:gridCol w:w="870"/>
        <w:gridCol w:w="1290"/>
        <w:gridCol w:w="16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编号</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点位</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井深（m）</w:t>
            </w:r>
          </w:p>
        </w:tc>
        <w:tc>
          <w:tcPr>
            <w:tcW w:w="12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水位（m）</w:t>
            </w:r>
          </w:p>
        </w:tc>
        <w:tc>
          <w:tcPr>
            <w:tcW w:w="87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水温℃</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监测类别</w:t>
            </w:r>
          </w:p>
        </w:tc>
        <w:tc>
          <w:tcPr>
            <w:tcW w:w="1694"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含水层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bCs/>
                <w:color w:val="auto"/>
              </w:rPr>
              <w:t>#</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瑞迪航空</w:t>
            </w:r>
          </w:p>
        </w:tc>
        <w:tc>
          <w:tcPr>
            <w:tcW w:w="129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24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87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水质、水位</w:t>
            </w:r>
          </w:p>
        </w:tc>
        <w:tc>
          <w:tcPr>
            <w:tcW w:w="1694"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第四系孔隙潜水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bCs/>
                <w:color w:val="auto"/>
              </w:rPr>
              <w:t>#</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笔峰村</w:t>
            </w:r>
          </w:p>
        </w:tc>
        <w:tc>
          <w:tcPr>
            <w:tcW w:w="129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24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7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水质、水位</w:t>
            </w:r>
          </w:p>
        </w:tc>
        <w:tc>
          <w:tcPr>
            <w:tcW w:w="169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bCs/>
                <w:color w:val="auto"/>
              </w:rPr>
              <w:t>#</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城关二村村</w:t>
            </w:r>
          </w:p>
        </w:tc>
        <w:tc>
          <w:tcPr>
            <w:tcW w:w="129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24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87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水质、水位</w:t>
            </w:r>
          </w:p>
        </w:tc>
        <w:tc>
          <w:tcPr>
            <w:tcW w:w="169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default" w:ascii="Times New Roman" w:hAnsi="Times New Roman" w:eastAsia="宋体" w:cs="Times New Roman"/>
                <w:bCs/>
                <w:color w:val="auto"/>
              </w:rPr>
              <w:t>#</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繁峙县腾飞矿业有限责任公司笔峰选厂分公司</w:t>
            </w:r>
          </w:p>
        </w:tc>
        <w:tc>
          <w:tcPr>
            <w:tcW w:w="129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24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87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水位</w:t>
            </w:r>
          </w:p>
        </w:tc>
        <w:tc>
          <w:tcPr>
            <w:tcW w:w="169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bCs/>
                <w:color w:val="auto"/>
              </w:rPr>
              <w:t>#</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繁峙县兴隆矿业有限公司</w:t>
            </w:r>
          </w:p>
        </w:tc>
        <w:tc>
          <w:tcPr>
            <w:tcW w:w="129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24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7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水位</w:t>
            </w:r>
          </w:p>
        </w:tc>
        <w:tc>
          <w:tcPr>
            <w:tcW w:w="169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2145"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kern w:val="2"/>
              </w:rPr>
              <w:t>西义</w:t>
            </w:r>
            <w:r>
              <w:rPr>
                <w:rFonts w:hint="default" w:ascii="Times New Roman" w:hAnsi="Times New Roman" w:eastAsia="宋体" w:cs="Times New Roman"/>
                <w:color w:val="auto"/>
              </w:rPr>
              <w:t>村</w:t>
            </w:r>
          </w:p>
        </w:tc>
        <w:tc>
          <w:tcPr>
            <w:tcW w:w="129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245"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70"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290" w:type="dxa"/>
            <w:noWrap/>
            <w:vAlign w:val="center"/>
          </w:tcPr>
          <w:p>
            <w:pPr>
              <w:pStyle w:val="388"/>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水位</w:t>
            </w:r>
          </w:p>
        </w:tc>
        <w:tc>
          <w:tcPr>
            <w:tcW w:w="1694" w:type="dxa"/>
            <w:noWrap/>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第四系孔隙潜水</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2、监测项目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根据《地下水质量标准》及</w:t>
      </w:r>
      <w:r>
        <w:rPr>
          <w:rFonts w:hint="default" w:ascii="Times New Roman" w:hAnsi="Times New Roman" w:eastAsia="宋体" w:cs="Times New Roman"/>
          <w:color w:val="auto"/>
          <w:sz w:val="24"/>
          <w:lang w:eastAsia="zh-CN"/>
        </w:rPr>
        <w:t>本</w:t>
      </w:r>
      <w:r>
        <w:rPr>
          <w:rFonts w:hint="default" w:ascii="Times New Roman" w:hAnsi="Times New Roman" w:eastAsia="宋体" w:cs="Times New Roman"/>
          <w:color w:val="auto"/>
          <w:sz w:val="24"/>
        </w:rPr>
        <w:t>项目排污特征，为准确全面反映当地地下水的水质情况，在环境影响因子识别的基础上，根据本工程排污特征，适当增加个别监测项目，最终确定的监测项目为：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①K</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、Na</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、Ca</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、Mg</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、HCO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、Cl</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、SO</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共8种离子的浓度；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②pH、氨氮、硝酸盐、亚硝酸盐、挥发酚、氰化物、砷、汞、六价铬、总硬度、铅、氟化物、镉、铁、锰、溶解性总固体、耗氧量、硫酸盐、氯化物、总大肠菌群、细菌总数共21项。并记录井深、水位、水温。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3、分析方法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水样的管理、分析化验及质量控制按《地下水环境监测技术规范》（HJ/T 164-2004）进行，pH和水温等不稳定项目现场测定。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4、监测时间及频率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在2020年4月10日进行一期监测，监测1天，每个点位每天采样一次。</w:t>
      </w:r>
    </w:p>
    <w:p>
      <w:pPr>
        <w:spacing w:line="360" w:lineRule="auto"/>
        <w:jc w:val="center"/>
        <w:rPr>
          <w:rFonts w:hint="default" w:ascii="Times New Roman" w:hAnsi="Times New Roman" w:eastAsia="宋体" w:cs="Times New Roman"/>
          <w:color w:val="auto"/>
          <w:sz w:val="24"/>
        </w:rPr>
      </w:pPr>
    </w:p>
    <w:p>
      <w:pPr>
        <w:spacing w:line="360" w:lineRule="auto"/>
        <w:jc w:val="center"/>
        <w:rPr>
          <w:rFonts w:hint="default" w:ascii="Times New Roman" w:hAnsi="Times New Roman" w:eastAsia="宋体" w:cs="Times New Roman"/>
          <w:color w:val="auto"/>
          <w:sz w:val="24"/>
        </w:rPr>
      </w:pPr>
    </w:p>
    <w:p>
      <w:pPr>
        <w:pStyle w:val="75"/>
        <w:ind w:firstLine="240"/>
        <w:rPr>
          <w:rFonts w:hint="default" w:ascii="Times New Roman" w:hAnsi="Times New Roman" w:eastAsia="宋体" w:cs="Times New Roman"/>
          <w:color w:val="auto"/>
          <w:sz w:val="24"/>
        </w:rPr>
        <w:sectPr>
          <w:footerReference r:id="rId21"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
        <w:pageBreakBefore w:val="0"/>
        <w:widowControl w:val="0"/>
        <w:kinsoku/>
        <w:wordWrap/>
        <w:overflowPunct/>
        <w:topLinePunct w:val="0"/>
        <w:autoSpaceDE/>
        <w:autoSpaceDN/>
        <w:bidi w:val="0"/>
        <w:adjustRightInd/>
        <w:snapToGrid/>
        <w:spacing w:before="0" w:after="0" w:line="480" w:lineRule="exact"/>
        <w:jc w:val="left"/>
        <w:textAlignment w:val="auto"/>
        <w:rPr>
          <w:rFonts w:hint="default" w:ascii="Times New Roman" w:hAnsi="Times New Roman" w:eastAsia="宋体" w:cs="Times New Roman"/>
          <w:color w:val="auto"/>
          <w:sz w:val="24"/>
          <w:szCs w:val="24"/>
        </w:rPr>
      </w:pPr>
      <w:bookmarkStart w:id="196" w:name="_Toc5305"/>
      <w:bookmarkStart w:id="197" w:name="_Toc13596"/>
      <w:r>
        <w:rPr>
          <w:rFonts w:hint="default" w:ascii="Times New Roman" w:hAnsi="Times New Roman" w:eastAsia="宋体" w:cs="Times New Roman"/>
          <w:color w:val="auto"/>
          <w:sz w:val="24"/>
          <w:szCs w:val="24"/>
        </w:rPr>
        <w:t>4.2 现状评价</w:t>
      </w:r>
      <w:bookmarkEnd w:id="196"/>
      <w:bookmarkEnd w:id="197"/>
    </w:p>
    <w:p>
      <w:pPr>
        <w:pageBreakBefore w:val="0"/>
        <w:widowControl w:val="0"/>
        <w:kinsoku/>
        <w:wordWrap/>
        <w:overflowPunct/>
        <w:topLinePunct w:val="0"/>
        <w:autoSpaceDE/>
        <w:autoSpaceDN/>
        <w:bidi w:val="0"/>
        <w:adjustRightInd/>
        <w:snapToGrid/>
        <w:spacing w:line="480" w:lineRule="exact"/>
        <w:ind w:firstLine="472" w:firstLineChars="196"/>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1、评价标准</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执行《地下水质量标准》（GB/T 14848-2017）中的Ⅲ类标准。</w:t>
      </w:r>
    </w:p>
    <w:p>
      <w:pPr>
        <w:pageBreakBefore w:val="0"/>
        <w:widowControl w:val="0"/>
        <w:kinsoku/>
        <w:wordWrap/>
        <w:overflowPunct/>
        <w:topLinePunct w:val="0"/>
        <w:autoSpaceDE/>
        <w:autoSpaceDN/>
        <w:bidi w:val="0"/>
        <w:adjustRightInd/>
        <w:snapToGrid/>
        <w:spacing w:line="480" w:lineRule="exact"/>
        <w:ind w:firstLine="472" w:firstLineChars="196"/>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2、评价方法</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采用标准指数法对地下水进行现状评价，标准指数计算公式：</w:t>
      </w:r>
    </w:p>
    <w:p>
      <w:pPr>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si</w:t>
      </w:r>
    </w:p>
    <w:p>
      <w:pPr>
        <w:pageBreakBefore w:val="0"/>
        <w:widowControl w:val="0"/>
        <w:kinsoku/>
        <w:wordWrap/>
        <w:overflowPunct/>
        <w:topLinePunct w:val="0"/>
        <w:autoSpaceDE/>
        <w:autoSpaceDN/>
        <w:bidi w:val="0"/>
        <w:adjustRightInd/>
        <w:snapToGrid/>
        <w:spacing w:line="480" w:lineRule="exact"/>
        <w:ind w:firstLine="960" w:firstLineChars="4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——第i个水质因子的标准指数，无量纲；</w:t>
      </w:r>
    </w:p>
    <w:p>
      <w:pPr>
        <w:pageBreakBefore w:val="0"/>
        <w:widowControl w:val="0"/>
        <w:kinsoku/>
        <w:wordWrap/>
        <w:overflowPunct/>
        <w:topLinePunct w:val="0"/>
        <w:autoSpaceDE/>
        <w:autoSpaceDN/>
        <w:bidi w:val="0"/>
        <w:adjustRightInd/>
        <w:snapToGrid/>
        <w:spacing w:line="480" w:lineRule="exact"/>
        <w:ind w:firstLine="420" w:firstLineChars="175"/>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C</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——第i个水质因子的监测浓度值，mg/L；</w:t>
      </w:r>
    </w:p>
    <w:p>
      <w:pPr>
        <w:pageBreakBefore w:val="0"/>
        <w:widowControl w:val="0"/>
        <w:kinsoku/>
        <w:wordWrap/>
        <w:overflowPunct/>
        <w:topLinePunct w:val="0"/>
        <w:autoSpaceDE/>
        <w:autoSpaceDN/>
        <w:bidi w:val="0"/>
        <w:adjustRightInd/>
        <w:snapToGrid/>
        <w:spacing w:line="480" w:lineRule="exact"/>
        <w:ind w:firstLine="420" w:firstLineChars="175"/>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C</w:t>
      </w:r>
      <w:r>
        <w:rPr>
          <w:rFonts w:hint="default" w:ascii="Times New Roman" w:hAnsi="Times New Roman" w:eastAsia="宋体" w:cs="Times New Roman"/>
          <w:color w:val="auto"/>
          <w:sz w:val="24"/>
          <w:szCs w:val="24"/>
          <w:vertAlign w:val="subscript"/>
        </w:rPr>
        <w:t>si</w:t>
      </w:r>
      <w:r>
        <w:rPr>
          <w:rFonts w:hint="default" w:ascii="Times New Roman" w:hAnsi="Times New Roman" w:eastAsia="宋体" w:cs="Times New Roman"/>
          <w:color w:val="auto"/>
          <w:sz w:val="24"/>
          <w:szCs w:val="24"/>
        </w:rPr>
        <w:t>——第i个水质因子的标准浓度值，mg/L。</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pH值标准指数计算公式：</w:t>
      </w:r>
    </w:p>
    <w:p>
      <w:pPr>
        <w:pageBreakBefore w:val="0"/>
        <w:widowControl w:val="0"/>
        <w:kinsoku/>
        <w:wordWrap/>
        <w:overflowPunct/>
        <w:topLinePunct w:val="0"/>
        <w:autoSpaceDE/>
        <w:autoSpaceDN/>
        <w:bidi w:val="0"/>
        <w:adjustRightInd/>
        <w:snapToGrid/>
        <w:spacing w:line="480" w:lineRule="exact"/>
        <w:ind w:firstLine="2880" w:firstLineChars="1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w:t>
      </w:r>
      <w:r>
        <w:rPr>
          <w:rFonts w:hint="default" w:ascii="Times New Roman" w:hAnsi="Times New Roman" w:eastAsia="宋体" w:cs="Times New Roman"/>
          <w:color w:val="auto"/>
          <w:sz w:val="24"/>
          <w:szCs w:val="24"/>
          <w:vertAlign w:val="subscript"/>
        </w:rPr>
        <w:t>pH</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position w:val="-30"/>
          <w:sz w:val="24"/>
          <w:szCs w:val="24"/>
        </w:rPr>
        <w:pict>
          <v:shape id="_x0000_s2194" o:spid="_x0000_s2194" o:spt="75" type="#_x0000_t75" style="position:absolute;left:0pt;margin-left:167.7pt;margin-top:1.2pt;height:33pt;width:58.05pt;z-index:251678720;mso-width-relative:page;mso-height-relative:page;" o:ole="t" filled="f" o:preferrelative="t" stroked="f" coordsize="21600,21600">
            <v:path/>
            <v:fill on="f" focussize="0,0"/>
            <v:stroke on="f" joinstyle="miter"/>
            <v:imagedata r:id="rId67" o:title=""/>
            <o:lock v:ext="edit" aspectratio="t"/>
          </v:shape>
          <o:OLEObject Type="Embed" ProgID="Equations" ShapeID="_x0000_s2194" DrawAspect="Content" ObjectID="_1468075726" r:id="rId66">
            <o:LockedField>false</o:LockedField>
          </o:OLEObject>
        </w:pic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（pH＞7.0时）</w:t>
      </w:r>
    </w:p>
    <w:p>
      <w:pPr>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color w:val="auto"/>
          <w:sz w:val="24"/>
          <w:szCs w:val="24"/>
        </w:rPr>
      </w:pPr>
    </w:p>
    <w:p>
      <w:pPr>
        <w:pageBreakBefore w:val="0"/>
        <w:widowControl w:val="0"/>
        <w:kinsoku/>
        <w:wordWrap/>
        <w:overflowPunct/>
        <w:topLinePunct w:val="0"/>
        <w:autoSpaceDE/>
        <w:autoSpaceDN/>
        <w:bidi w:val="0"/>
        <w:adjustRightInd/>
        <w:snapToGrid/>
        <w:spacing w:line="480" w:lineRule="exact"/>
        <w:ind w:firstLine="2880" w:firstLineChars="1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w:t>
      </w:r>
      <w:r>
        <w:rPr>
          <w:rFonts w:hint="default" w:ascii="Times New Roman" w:hAnsi="Times New Roman" w:eastAsia="宋体" w:cs="Times New Roman"/>
          <w:color w:val="auto"/>
          <w:sz w:val="24"/>
          <w:szCs w:val="24"/>
          <w:vertAlign w:val="subscript"/>
        </w:rPr>
        <w:t>pH</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position w:val="-30"/>
          <w:sz w:val="24"/>
          <w:szCs w:val="24"/>
        </w:rPr>
        <w:pict>
          <v:shape id="_x0000_s2195" o:spid="_x0000_s2195" o:spt="75" type="#_x0000_t75" style="position:absolute;left:0pt;margin-left:170.45pt;margin-top:0.2pt;height:34pt;width:58pt;z-index:251678720;mso-width-relative:page;mso-height-relative:page;" o:ole="t" filled="f" o:preferrelative="t" stroked="f" coordsize="21600,21600">
            <v:path/>
            <v:fill on="f" focussize="0,0"/>
            <v:stroke on="f" joinstyle="miter"/>
            <v:imagedata r:id="rId69" o:title=""/>
            <o:lock v:ext="edit" aspectratio="t"/>
          </v:shape>
          <o:OLEObject Type="Embed" ProgID="Equations" ShapeID="_x0000_s2195" DrawAspect="Content" ObjectID="_1468075727" r:id="rId68">
            <o:LockedField>false</o:LockedField>
          </o:OLEObject>
        </w:pic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（pH≤7.0时）</w:t>
      </w:r>
    </w:p>
    <w:p>
      <w:pPr>
        <w:pageBreakBefore w:val="0"/>
        <w:widowControl w:val="0"/>
        <w:kinsoku/>
        <w:wordWrap/>
        <w:overflowPunct/>
        <w:topLinePunct w:val="0"/>
        <w:autoSpaceDE/>
        <w:autoSpaceDN/>
        <w:bidi w:val="0"/>
        <w:adjustRightInd/>
        <w:snapToGrid/>
        <w:spacing w:line="480" w:lineRule="exact"/>
        <w:ind w:firstLine="960" w:firstLineChars="400"/>
        <w:jc w:val="left"/>
        <w:textAlignment w:val="auto"/>
        <w:rPr>
          <w:rFonts w:hint="default" w:ascii="Times New Roman" w:hAnsi="Times New Roman" w:eastAsia="宋体" w:cs="Times New Roman"/>
          <w:color w:val="auto"/>
          <w:sz w:val="24"/>
          <w:szCs w:val="24"/>
        </w:rPr>
      </w:pPr>
    </w:p>
    <w:p>
      <w:pPr>
        <w:pageBreakBefore w:val="0"/>
        <w:widowControl w:val="0"/>
        <w:kinsoku/>
        <w:wordWrap/>
        <w:overflowPunct/>
        <w:topLinePunct w:val="0"/>
        <w:autoSpaceDE/>
        <w:autoSpaceDN/>
        <w:bidi w:val="0"/>
        <w:adjustRightInd/>
        <w:snapToGrid/>
        <w:spacing w:line="480" w:lineRule="exact"/>
        <w:ind w:firstLine="960" w:firstLineChars="4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式中：P</w:t>
      </w:r>
      <w:r>
        <w:rPr>
          <w:rFonts w:hint="default" w:ascii="Times New Roman" w:hAnsi="Times New Roman" w:eastAsia="宋体" w:cs="Times New Roman"/>
          <w:color w:val="auto"/>
          <w:sz w:val="24"/>
          <w:szCs w:val="24"/>
          <w:vertAlign w:val="subscript"/>
        </w:rPr>
        <w:t>pH</w:t>
      </w:r>
      <w:r>
        <w:rPr>
          <w:rFonts w:hint="default" w:ascii="Times New Roman" w:hAnsi="Times New Roman" w:eastAsia="宋体" w:cs="Times New Roman"/>
          <w:color w:val="auto"/>
          <w:sz w:val="24"/>
          <w:szCs w:val="24"/>
        </w:rPr>
        <w:t>——pH的标准指数，无量纲；</w:t>
      </w:r>
    </w:p>
    <w:p>
      <w:pPr>
        <w:pageBreakBefore w:val="0"/>
        <w:widowControl w:val="0"/>
        <w:kinsoku/>
        <w:wordWrap/>
        <w:overflowPunct/>
        <w:topLinePunct w:val="0"/>
        <w:autoSpaceDE/>
        <w:autoSpaceDN/>
        <w:bidi w:val="0"/>
        <w:adjustRightInd/>
        <w:snapToGrid/>
        <w:spacing w:line="480" w:lineRule="exact"/>
        <w:ind w:firstLine="1740" w:firstLineChars="725"/>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pH——pH监侧值；</w:t>
      </w:r>
    </w:p>
    <w:p>
      <w:pPr>
        <w:pageBreakBefore w:val="0"/>
        <w:widowControl w:val="0"/>
        <w:kinsoku/>
        <w:wordWrap/>
        <w:overflowPunct/>
        <w:topLinePunct w:val="0"/>
        <w:autoSpaceDE/>
        <w:autoSpaceDN/>
        <w:bidi w:val="0"/>
        <w:adjustRightInd/>
        <w:snapToGrid/>
        <w:spacing w:line="480" w:lineRule="exact"/>
        <w:ind w:firstLine="420" w:firstLineChars="175"/>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w:t>
      </w:r>
      <w:r>
        <w:rPr>
          <w:rFonts w:hint="default" w:ascii="Times New Roman" w:hAnsi="Times New Roman" w:eastAsia="宋体" w:cs="Times New Roman"/>
          <w:color w:val="auto"/>
          <w:sz w:val="24"/>
          <w:szCs w:val="24"/>
          <w:vertAlign w:val="subscript"/>
        </w:rPr>
        <w:t>su</w:t>
      </w:r>
      <w:r>
        <w:rPr>
          <w:rFonts w:hint="default" w:ascii="Times New Roman" w:hAnsi="Times New Roman" w:eastAsia="宋体" w:cs="Times New Roman"/>
          <w:color w:val="auto"/>
          <w:sz w:val="24"/>
          <w:szCs w:val="24"/>
        </w:rPr>
        <w:t>——标准中pH的上限值；</w:t>
      </w:r>
    </w:p>
    <w:p>
      <w:pPr>
        <w:pageBreakBefore w:val="0"/>
        <w:widowControl w:val="0"/>
        <w:kinsoku/>
        <w:wordWrap/>
        <w:overflowPunct/>
        <w:topLinePunct w:val="0"/>
        <w:autoSpaceDE/>
        <w:autoSpaceDN/>
        <w:bidi w:val="0"/>
        <w:adjustRightInd/>
        <w:snapToGrid/>
        <w:spacing w:line="480" w:lineRule="exact"/>
        <w:ind w:firstLine="420" w:firstLineChars="175"/>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w:t>
      </w:r>
      <w:r>
        <w:rPr>
          <w:rFonts w:hint="default" w:ascii="Times New Roman" w:hAnsi="Times New Roman" w:eastAsia="宋体" w:cs="Times New Roman"/>
          <w:color w:val="auto"/>
          <w:sz w:val="24"/>
          <w:szCs w:val="24"/>
          <w:vertAlign w:val="subscript"/>
        </w:rPr>
        <w:t>sd</w:t>
      </w:r>
      <w:r>
        <w:rPr>
          <w:rFonts w:hint="default" w:ascii="Times New Roman" w:hAnsi="Times New Roman" w:eastAsia="宋体" w:cs="Times New Roman"/>
          <w:color w:val="auto"/>
          <w:sz w:val="24"/>
          <w:szCs w:val="24"/>
        </w:rPr>
        <w:t>——标准中pH的下限值。</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&gt;1.0时，表明该水质因子超标。</w:t>
      </w:r>
    </w:p>
    <w:p>
      <w:pPr>
        <w:pageBreakBefore w:val="0"/>
        <w:widowControl w:val="0"/>
        <w:kinsoku/>
        <w:wordWrap/>
        <w:overflowPunct/>
        <w:topLinePunct w:val="0"/>
        <w:autoSpaceDE/>
        <w:autoSpaceDN/>
        <w:bidi w:val="0"/>
        <w:adjustRightInd/>
        <w:snapToGrid/>
        <w:spacing w:line="480" w:lineRule="exact"/>
        <w:ind w:firstLine="472" w:firstLineChars="196"/>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3、地下水环境质量现状监测与评价结果</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地下水环境质量现状监测与评价结果</w:t>
      </w:r>
      <w:r>
        <w:rPr>
          <w:rFonts w:hint="eastAsia" w:cs="Times New Roman"/>
          <w:b/>
          <w:bCs/>
          <w:color w:val="auto"/>
          <w:sz w:val="24"/>
          <w:szCs w:val="24"/>
          <w:lang w:eastAsia="zh-CN"/>
        </w:rPr>
        <w:t>略</w:t>
      </w:r>
      <w:r>
        <w:rPr>
          <w:rFonts w:hint="default" w:ascii="Times New Roman" w:hAnsi="Times New Roman" w:eastAsia="宋体" w:cs="Times New Roman"/>
          <w:b/>
          <w:bCs/>
          <w:color w:val="auto"/>
          <w:sz w:val="24"/>
          <w:szCs w:val="24"/>
        </w:rPr>
        <w:t>。</w:t>
      </w:r>
    </w:p>
    <w:p>
      <w:pPr>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根据水质监测结果可知，地下水调查范围内的监测点监测因子均满足《地下水质量标准》（GB/T 14848-2017）中的Ⅲ类标准。总体来讲，区域地下水环境质量现状良好。</w:t>
      </w:r>
    </w:p>
    <w:p>
      <w:pPr>
        <w:spacing w:line="360" w:lineRule="auto"/>
        <w:ind w:firstLine="480" w:firstLineChars="200"/>
        <w:rPr>
          <w:rFonts w:hint="default" w:ascii="Times New Roman" w:hAnsi="Times New Roman" w:eastAsia="宋体" w:cs="Times New Roman"/>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pageBreakBefore w:val="0"/>
        <w:widowControl w:val="0"/>
        <w:kinsoku/>
        <w:wordWrap/>
        <w:overflowPunct/>
        <w:topLinePunct w:val="0"/>
        <w:autoSpaceDE/>
        <w:autoSpaceDN/>
        <w:bidi w:val="0"/>
        <w:adjustRightInd/>
        <w:snapToGrid/>
        <w:spacing w:before="0" w:after="0" w:line="480" w:lineRule="exact"/>
        <w:jc w:val="both"/>
        <w:textAlignment w:val="auto"/>
        <w:rPr>
          <w:rFonts w:hint="default" w:ascii="Times New Roman" w:hAnsi="Times New Roman" w:eastAsia="宋体" w:cs="Times New Roman"/>
          <w:color w:val="auto"/>
          <w:sz w:val="24"/>
          <w:szCs w:val="24"/>
        </w:rPr>
      </w:pPr>
      <w:bookmarkStart w:id="198" w:name="_Toc339399547"/>
      <w:bookmarkStart w:id="199" w:name="_Toc366482337"/>
      <w:bookmarkStart w:id="200" w:name="_Toc11974"/>
      <w:bookmarkStart w:id="201" w:name="_Toc908"/>
      <w:r>
        <w:rPr>
          <w:rFonts w:hint="default" w:ascii="Times New Roman" w:hAnsi="Times New Roman" w:eastAsia="宋体" w:cs="Times New Roman"/>
          <w:color w:val="auto"/>
          <w:sz w:val="24"/>
          <w:szCs w:val="24"/>
        </w:rPr>
        <w:t xml:space="preserve">5  </w:t>
      </w:r>
      <w:bookmarkEnd w:id="198"/>
      <w:bookmarkEnd w:id="199"/>
      <w:r>
        <w:rPr>
          <w:rFonts w:hint="default" w:ascii="Times New Roman" w:hAnsi="Times New Roman" w:eastAsia="宋体" w:cs="Times New Roman"/>
          <w:color w:val="auto"/>
          <w:sz w:val="24"/>
          <w:szCs w:val="24"/>
        </w:rPr>
        <w:t>地下水环境影响分析</w:t>
      </w:r>
      <w:bookmarkEnd w:id="200"/>
      <w:bookmarkEnd w:id="201"/>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bookmarkStart w:id="202" w:name="_Toc17694"/>
      <w:bookmarkStart w:id="203" w:name="_Toc356853373"/>
      <w:bookmarkStart w:id="204" w:name="_Toc335677340"/>
      <w:r>
        <w:rPr>
          <w:rFonts w:hint="default" w:ascii="Times New Roman" w:hAnsi="Times New Roman" w:eastAsia="宋体" w:cs="Times New Roman"/>
          <w:color w:val="auto"/>
        </w:rPr>
        <w:t>本项目按照《环境影响评价技术导则地下水环境》（HJ610-2016）中的相关要求对地下水进行环境影响分析。</w:t>
      </w:r>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205" w:name="_Toc17781"/>
      <w:r>
        <w:rPr>
          <w:rFonts w:hint="default" w:ascii="Times New Roman" w:hAnsi="Times New Roman" w:eastAsia="宋体" w:cs="Times New Roman"/>
          <w:color w:val="auto"/>
          <w:sz w:val="24"/>
          <w:szCs w:val="24"/>
        </w:rPr>
        <w:t>5.1项目用排水分析</w:t>
      </w:r>
      <w:bookmarkEnd w:id="205"/>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本项目的废水污染物主要为污水处理站排水和运营过程中产生的生活污水。</w:t>
      </w:r>
      <w:r>
        <w:rPr>
          <w:rFonts w:hint="default" w:ascii="Times New Roman" w:hAnsi="Times New Roman" w:eastAsia="宋体" w:cs="Times New Roman"/>
          <w:color w:val="auto"/>
          <w:lang w:eastAsia="zh-CN"/>
        </w:rPr>
        <w:t>生活污水应急处理站</w:t>
      </w:r>
      <w:r>
        <w:rPr>
          <w:rFonts w:hint="default" w:ascii="Times New Roman" w:hAnsi="Times New Roman" w:eastAsia="宋体" w:cs="Times New Roman"/>
          <w:color w:val="auto"/>
        </w:rPr>
        <w:t>运营期，服务区范围为繁峙县城产生的一部分生活污水，处理后的污水排入滹沱河。经计算污水处理前后的排放量见表4-8。</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表4-8污水处理后污染物排放量</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5"/>
        <w:gridCol w:w="1485"/>
        <w:gridCol w:w="1725"/>
        <w:gridCol w:w="1865"/>
        <w:gridCol w:w="2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日处理能力（m³/d）</w:t>
            </w:r>
          </w:p>
        </w:tc>
        <w:tc>
          <w:tcPr>
            <w:tcW w:w="148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排污状况</w:t>
            </w: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浓度（mg/L）</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排放总量（t/a）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vMerge w:val="restart"/>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3000</w:t>
            </w:r>
          </w:p>
        </w:tc>
        <w:tc>
          <w:tcPr>
            <w:tcW w:w="1485" w:type="dxa"/>
            <w:vMerge w:val="restart"/>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正常排放</w:t>
            </w: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CODcr</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40</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48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10</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48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2</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48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TP</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0.4</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0.00044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48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TN</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15</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485" w:type="dxa"/>
            <w:vMerge w:val="continue"/>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p>
        </w:tc>
        <w:tc>
          <w:tcPr>
            <w:tcW w:w="172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SS</w:t>
            </w:r>
          </w:p>
        </w:tc>
        <w:tc>
          <w:tcPr>
            <w:tcW w:w="1865"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10</w:t>
            </w:r>
          </w:p>
        </w:tc>
        <w:tc>
          <w:tcPr>
            <w:tcW w:w="2016" w:type="dxa"/>
            <w:tcBorders>
              <w:tl2br w:val="nil"/>
              <w:tr2bl w:val="nil"/>
            </w:tcBorders>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0.011</w:t>
            </w:r>
          </w:p>
        </w:tc>
      </w:tr>
    </w:tbl>
    <w:p>
      <w:pPr>
        <w:pStyle w:val="5"/>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Times New Roman" w:hAnsi="Times New Roman" w:eastAsia="宋体" w:cs="Times New Roman"/>
          <w:b w:val="0"/>
          <w:bCs w:val="0"/>
          <w:color w:val="auto"/>
          <w:sz w:val="24"/>
          <w:szCs w:val="24"/>
        </w:rPr>
      </w:pPr>
      <w:bookmarkStart w:id="206" w:name="_Toc15228"/>
      <w:r>
        <w:rPr>
          <w:rFonts w:hint="default" w:ascii="Times New Roman" w:hAnsi="Times New Roman" w:eastAsia="宋体" w:cs="Times New Roman"/>
          <w:b w:val="0"/>
          <w:bCs w:val="0"/>
          <w:color w:val="auto"/>
          <w:sz w:val="24"/>
          <w:szCs w:val="24"/>
        </w:rPr>
        <w:t>由上表可知，本项目处理后的CODcr、TP、NH</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-N</w:t>
      </w:r>
      <w:r>
        <w:rPr>
          <w:rFonts w:hint="default" w:ascii="Times New Roman" w:hAnsi="Times New Roman" w:eastAsia="宋体" w:cs="Times New Roman"/>
          <w:b w:val="0"/>
          <w:bCs w:val="0"/>
          <w:color w:val="auto"/>
          <w:sz w:val="24"/>
          <w:szCs w:val="24"/>
          <w:lang w:eastAsia="zh-CN"/>
        </w:rPr>
        <w:t>达到</w:t>
      </w:r>
      <w:r>
        <w:rPr>
          <w:rFonts w:hint="default" w:ascii="Times New Roman" w:hAnsi="Times New Roman" w:eastAsia="宋体" w:cs="Times New Roman"/>
          <w:b w:val="0"/>
          <w:bCs w:val="0"/>
          <w:color w:val="auto"/>
          <w:sz w:val="24"/>
          <w:lang w:val="en-US" w:eastAsia="zh-CN"/>
        </w:rPr>
        <w:t>《山西省地方标准污水综合排放标准》（DB14/1928-2019）中表2</w:t>
      </w:r>
      <w:r>
        <w:rPr>
          <w:rFonts w:hint="default" w:ascii="Times New Roman" w:hAnsi="Times New Roman" w:eastAsia="宋体" w:cs="Times New Roman"/>
          <w:b w:val="0"/>
          <w:bCs w:val="0"/>
          <w:color w:val="auto"/>
          <w:sz w:val="24"/>
        </w:rPr>
        <w:t>标准</w:t>
      </w:r>
      <w:r>
        <w:rPr>
          <w:rFonts w:hint="default" w:ascii="Times New Roman" w:hAnsi="Times New Roman" w:eastAsia="宋体" w:cs="Times New Roman"/>
          <w:b w:val="0"/>
          <w:bCs w:val="0"/>
          <w:color w:val="auto"/>
          <w:sz w:val="24"/>
          <w:szCs w:val="24"/>
          <w:lang w:eastAsia="zh-CN"/>
        </w:rPr>
        <w:t>；其余</w:t>
      </w:r>
      <w:r>
        <w:rPr>
          <w:rFonts w:hint="default" w:ascii="Times New Roman" w:hAnsi="Times New Roman" w:eastAsia="宋体" w:cs="Times New Roman"/>
          <w:b w:val="0"/>
          <w:bCs w:val="0"/>
          <w:color w:val="auto"/>
          <w:sz w:val="24"/>
          <w:szCs w:val="24"/>
        </w:rPr>
        <w:t>污染物达到《城镇污水处理厂污染物排放标准》（GB18918-2002）及修改单中的一级标准中的A标准。</w:t>
      </w:r>
      <w:bookmarkEnd w:id="206"/>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bookmarkStart w:id="207" w:name="_Toc7121"/>
      <w:r>
        <w:rPr>
          <w:rFonts w:hint="default" w:ascii="Times New Roman" w:hAnsi="Times New Roman" w:eastAsia="宋体" w:cs="Times New Roman"/>
          <w:color w:val="auto"/>
          <w:sz w:val="24"/>
          <w:szCs w:val="24"/>
        </w:rPr>
        <w:t>5.</w:t>
      </w:r>
      <w:bookmarkEnd w:id="202"/>
      <w:r>
        <w:rPr>
          <w:rFonts w:hint="default" w:ascii="Times New Roman" w:hAnsi="Times New Roman" w:eastAsia="宋体" w:cs="Times New Roman"/>
          <w:color w:val="auto"/>
          <w:sz w:val="24"/>
          <w:szCs w:val="24"/>
        </w:rPr>
        <w:t>2地下水污染途径及污染防控对策</w:t>
      </w:r>
      <w:bookmarkEnd w:id="207"/>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本项目按照《环境影响评价技术导则</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地下水环境》（HJ610-2016）中的相关要求对地下水进行环境影响分析。</w:t>
      </w:r>
    </w:p>
    <w:p>
      <w:pPr>
        <w:pStyle w:val="5"/>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Times New Roman" w:hAnsi="Times New Roman" w:eastAsia="宋体" w:cs="Times New Roman"/>
          <w:color w:val="auto"/>
          <w:sz w:val="24"/>
          <w:szCs w:val="24"/>
        </w:rPr>
      </w:pPr>
      <w:bookmarkStart w:id="208" w:name="_Toc4737"/>
      <w:r>
        <w:rPr>
          <w:rFonts w:hint="default" w:ascii="Times New Roman" w:hAnsi="Times New Roman" w:eastAsia="宋体" w:cs="Times New Roman"/>
          <w:color w:val="auto"/>
          <w:sz w:val="24"/>
          <w:szCs w:val="24"/>
        </w:rPr>
        <w:t>5.2.1地下水污染途径分析</w:t>
      </w:r>
      <w:bookmarkEnd w:id="208"/>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bookmarkStart w:id="209" w:name="_Toc467163642"/>
      <w:bookmarkStart w:id="210" w:name="_Toc467592239"/>
      <w:r>
        <w:rPr>
          <w:rFonts w:hint="default" w:ascii="Times New Roman" w:hAnsi="Times New Roman" w:eastAsia="宋体" w:cs="Times New Roman"/>
          <w:color w:val="auto"/>
        </w:rPr>
        <w:t>本项目的水污染物进入地下水的途径主要来自各污水处理池和污水输送管线，可能发生的事故为污水池池体破裂、管线破损泄漏产生的跑冒滴漏等。</w:t>
      </w:r>
    </w:p>
    <w:p>
      <w:pPr>
        <w:pStyle w:val="5"/>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Times New Roman" w:hAnsi="Times New Roman" w:eastAsia="宋体" w:cs="Times New Roman"/>
          <w:color w:val="auto"/>
          <w:sz w:val="24"/>
          <w:szCs w:val="24"/>
        </w:rPr>
      </w:pPr>
      <w:bookmarkStart w:id="211" w:name="_Toc22983"/>
      <w:bookmarkStart w:id="212" w:name="_Toc2709"/>
      <w:r>
        <w:rPr>
          <w:rFonts w:hint="default" w:ascii="Times New Roman" w:hAnsi="Times New Roman" w:eastAsia="宋体" w:cs="Times New Roman"/>
          <w:color w:val="auto"/>
          <w:sz w:val="24"/>
          <w:szCs w:val="24"/>
        </w:rPr>
        <w:t>5.2.2</w:t>
      </w:r>
      <w:bookmarkEnd w:id="209"/>
      <w:bookmarkEnd w:id="210"/>
      <w:bookmarkEnd w:id="211"/>
      <w:r>
        <w:rPr>
          <w:rFonts w:hint="default" w:ascii="Times New Roman" w:hAnsi="Times New Roman" w:eastAsia="宋体" w:cs="Times New Roman"/>
          <w:color w:val="auto"/>
          <w:sz w:val="24"/>
          <w:szCs w:val="24"/>
        </w:rPr>
        <w:t>防止地下水污染的环境保护措施</w:t>
      </w:r>
      <w:bookmarkEnd w:id="212"/>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1）严格把关工程质量</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（1）设备采购中严格把好质量关；</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（2）施工过程中严格把关，施工期管道投产前应按要求试压、检查焊缝质量，以保证施工质量；</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（3）对管道采取防腐措施和定期防腐检测；</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（4）定期检查各设备、管线及连接部位是否存在漏损隐患；</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（5）规范安全生产的各项制度，把生产事故隐患降低至最低；</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（6）防治地面污染源对地下水造成影响，包括各固体堆放点。</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rPr>
        <w:t>污水渗漏对地下水环境的保护措施</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（1）做好废水管理，严格控制输送废水管网的跑冒滴漏现象发生，及时发现及时维修。</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（2）厂内道路硬化处理。</w:t>
      </w:r>
    </w:p>
    <w:p>
      <w:pPr>
        <w:pStyle w:val="5"/>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Times New Roman" w:hAnsi="Times New Roman" w:eastAsia="宋体" w:cs="Times New Roman"/>
          <w:color w:val="auto"/>
          <w:sz w:val="24"/>
          <w:szCs w:val="24"/>
        </w:rPr>
      </w:pPr>
      <w:bookmarkStart w:id="213" w:name="_Toc25696"/>
      <w:r>
        <w:rPr>
          <w:rFonts w:hint="default" w:ascii="Times New Roman" w:hAnsi="Times New Roman" w:eastAsia="宋体" w:cs="Times New Roman"/>
          <w:color w:val="auto"/>
          <w:sz w:val="24"/>
          <w:szCs w:val="24"/>
        </w:rPr>
        <w:t>5.2.3项目污染防控对策</w:t>
      </w:r>
      <w:bookmarkEnd w:id="213"/>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1）源头控制措施</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设计、施工时对污水储存、收集、处理、排放设备等应采用优质、稳定、成熟的产品，做好质量检查、验收工作，防止设备破损和“跑、冒、滴、漏”现象。</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管道敷设尽量采用“可视化”原则，即管道尽可能地上敷设，做到污染物“早发现、早处理”，减少由于埋地管道泄漏而造成的地下水污染。</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在污水处置单元界区增设环形的排水沟，并设置清污切换系统，事故状态时可将废水排至事故水池。</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定期对排水沟、水池、管道等的渗漏性进行检查，即注满水后观察是否有渗水、漏水现象，发现问题及时解决（建议二月一次）。</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禁止在</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rPr>
        <w:t>内任意设置排污水口，为了防止突发事故，污染物外泄，造成对环境的污染，应设置专门的事故水池及风险事故报警系统，一旦有事故发生，将污水直接排入事故水池等待处理。</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rPr>
        <w:t>内设置生活垃圾收集点，集中收集后由环卫部门统一运至城市规划的垃圾填埋场。</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做好“雨污分流、雨水收集”工作，防止雨水携带污染物渗入地下含水层。</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2）分区控制措施</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地下水环境》（HJ610-2016）给出不同分区的具体防渗技求要求，一般情况下，应以水平防渗为主，防控措施应满足以下要求：</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①已颁布污染控制国家标准或防渗技术规范的行业，水平防渗技术要求按照相应标准或规范执行，如GB 16889、GB 18597、GB 18598、GB 18599、GB/T 50934等；</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未颁布相关标准的行业，参考《石油化工工程防渗技术规范》(GBT50934-2013)对地下水污染防渗要求，根据预测结果和场地包气带特征及其防污性能，提出防渗技术要求；或根据建设项目场地天然包气带防污性能、污染控制难易程度和污染物特性，参照表7提出防渗技术要求。其中污染控制难易程度分级和天然包气带防污性能分级分别参照表5和表6进行相关等级的确定。</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地下水被动防治措施主要为建项目进行全面防渗处理，有效防止污染物渗入地下。</w:t>
      </w:r>
    </w:p>
    <w:p>
      <w:pPr>
        <w:pStyle w:val="389"/>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rPr>
        <w:t>内各生产、生活功能单元可能产生污染的地区，划分为重点防渗区、简单防渗区，对</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rPr>
        <w:t>可能泄露污染物的地面进行防渗处理，可有效防治污染物渗入地下，并及时地将渗漏/泄露的污染物收集并迸行集中处理。分区防渗方案见表7。</w:t>
      </w:r>
    </w:p>
    <w:p>
      <w:pPr>
        <w:pStyle w:val="389"/>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eastAsia="宋体" w:cs="Times New Roman"/>
          <w:iCs/>
          <w:color w:val="auto"/>
        </w:rPr>
      </w:pPr>
      <w:r>
        <w:rPr>
          <w:rFonts w:hint="default" w:ascii="Times New Roman" w:hAnsi="Times New Roman" w:eastAsia="宋体" w:cs="Times New Roman"/>
          <w:b/>
          <w:color w:val="auto"/>
        </w:rPr>
        <w:t>重点防渗区：</w:t>
      </w:r>
      <w:r>
        <w:rPr>
          <w:rFonts w:hint="default" w:ascii="Times New Roman" w:hAnsi="Times New Roman" w:eastAsia="宋体" w:cs="Times New Roman"/>
          <w:color w:val="auto"/>
        </w:rPr>
        <w:t>指位于地下或者半地下的生产功能单元，污染地下水环境的污染物泄漏后不容易被及时发现或处理的区域/部位，该区域采取严格的防腐、防渗措施。主要包括各类池体</w:t>
      </w:r>
      <w:r>
        <w:rPr>
          <w:rFonts w:hint="default" w:ascii="Times New Roman" w:hAnsi="Times New Roman" w:eastAsia="宋体" w:cs="Times New Roman"/>
          <w:color w:val="auto"/>
          <w:lang w:eastAsia="zh-CN"/>
        </w:rPr>
        <w:t>及压滤间</w:t>
      </w:r>
      <w:r>
        <w:rPr>
          <w:rFonts w:hint="default" w:ascii="Times New Roman" w:hAnsi="Times New Roman" w:eastAsia="宋体" w:cs="Times New Roman"/>
          <w:color w:val="auto"/>
        </w:rPr>
        <w:t>，污水管网等。重点污染防治区参照《危险废物贮存污染控制标准》（GB18596-2001）要求制定防渗措施。基础必须防渗，防渗层至少等效为</w:t>
      </w:r>
      <w:r>
        <w:rPr>
          <w:rFonts w:hint="default" w:ascii="Times New Roman" w:hAnsi="Times New Roman" w:eastAsia="宋体" w:cs="Times New Roman"/>
          <w:iCs/>
          <w:color w:val="auto"/>
        </w:rPr>
        <w:t>1m厚粘土（渗透系数</w:t>
      </w:r>
      <w:r>
        <w:rPr>
          <w:rFonts w:hint="default" w:ascii="Times New Roman" w:hAnsi="Times New Roman" w:eastAsia="宋体" w:cs="Times New Roman"/>
          <w:color w:val="auto"/>
        </w:rPr>
        <w:t>≤</w:t>
      </w:r>
      <w:r>
        <w:rPr>
          <w:rFonts w:hint="default" w:ascii="Times New Roman" w:hAnsi="Times New Roman" w:eastAsia="宋体" w:cs="Times New Roman"/>
          <w:iCs/>
          <w:color w:val="auto"/>
        </w:rPr>
        <w:t>10</w:t>
      </w:r>
      <w:r>
        <w:rPr>
          <w:rFonts w:hint="default" w:ascii="Times New Roman" w:hAnsi="Times New Roman" w:eastAsia="宋体" w:cs="Times New Roman"/>
          <w:iCs/>
          <w:color w:val="auto"/>
          <w:vertAlign w:val="superscript"/>
        </w:rPr>
        <w:t>-7</w:t>
      </w:r>
      <w:r>
        <w:rPr>
          <w:rFonts w:hint="default" w:ascii="Times New Roman" w:hAnsi="Times New Roman" w:eastAsia="宋体" w:cs="Times New Roman"/>
          <w:iCs/>
          <w:color w:val="auto"/>
        </w:rPr>
        <w:t>cm/s），或2mm厚高密度聚乙烯，或至少2mm厚的其他人工材料，渗透系数</w:t>
      </w:r>
      <w:r>
        <w:rPr>
          <w:rFonts w:hint="default" w:ascii="Times New Roman" w:hAnsi="Times New Roman" w:eastAsia="宋体" w:cs="Times New Roman"/>
          <w:color w:val="auto"/>
        </w:rPr>
        <w:t>≤</w:t>
      </w:r>
      <w:r>
        <w:rPr>
          <w:rFonts w:hint="default" w:ascii="Times New Roman" w:hAnsi="Times New Roman" w:eastAsia="宋体" w:cs="Times New Roman"/>
          <w:iCs/>
          <w:color w:val="auto"/>
        </w:rPr>
        <w:t>10</w:t>
      </w:r>
      <w:r>
        <w:rPr>
          <w:rFonts w:hint="default" w:ascii="Times New Roman" w:hAnsi="Times New Roman" w:eastAsia="宋体" w:cs="Times New Roman"/>
          <w:iCs/>
          <w:color w:val="auto"/>
          <w:vertAlign w:val="superscript"/>
        </w:rPr>
        <w:t>-10</w:t>
      </w:r>
      <w:r>
        <w:rPr>
          <w:rFonts w:hint="default" w:ascii="Times New Roman" w:hAnsi="Times New Roman" w:eastAsia="宋体" w:cs="Times New Roman"/>
          <w:iCs/>
          <w:color w:val="auto"/>
        </w:rPr>
        <w:t>cm/s。</w:t>
      </w:r>
    </w:p>
    <w:p>
      <w:pPr>
        <w:pStyle w:val="389"/>
        <w:pageBreakBefore w:val="0"/>
        <w:widowControl w:val="0"/>
        <w:kinsoku/>
        <w:wordWrap/>
        <w:overflowPunct/>
        <w:topLinePunct w:val="0"/>
        <w:autoSpaceDE/>
        <w:autoSpaceDN/>
        <w:bidi w:val="0"/>
        <w:adjustRightInd/>
        <w:snapToGrid/>
        <w:spacing w:line="480" w:lineRule="exact"/>
        <w:ind w:firstLine="482"/>
        <w:textAlignment w:val="auto"/>
        <w:rPr>
          <w:rFonts w:hint="default" w:ascii="Times New Roman" w:hAnsi="Times New Roman" w:eastAsia="宋体" w:cs="Times New Roman"/>
          <w:color w:val="auto"/>
        </w:rPr>
      </w:pPr>
      <w:r>
        <w:rPr>
          <w:rFonts w:hint="default" w:ascii="Times New Roman" w:hAnsi="Times New Roman" w:eastAsia="宋体" w:cs="Times New Roman"/>
          <w:b/>
          <w:color w:val="auto"/>
        </w:rPr>
        <w:t>简单防渗区：</w:t>
      </w:r>
      <w:r>
        <w:rPr>
          <w:rFonts w:hint="default" w:ascii="Times New Roman" w:hAnsi="Times New Roman" w:eastAsia="宋体" w:cs="Times New Roman"/>
          <w:color w:val="auto"/>
        </w:rPr>
        <w:t>不会对地下水环境造成污染的区域，主要包括</w:t>
      </w:r>
      <w:r>
        <w:rPr>
          <w:rFonts w:hint="default" w:ascii="Times New Roman" w:hAnsi="Times New Roman" w:eastAsia="宋体" w:cs="Times New Roman"/>
          <w:color w:val="auto"/>
          <w:lang w:eastAsia="zh-CN"/>
        </w:rPr>
        <w:t>综合车间及、办公室及</w:t>
      </w:r>
      <w:r>
        <w:rPr>
          <w:rFonts w:hint="default" w:ascii="Times New Roman" w:hAnsi="Times New Roman" w:eastAsia="宋体" w:cs="Times New Roman"/>
          <w:color w:val="auto"/>
        </w:rPr>
        <w:t>污水处理站内道路等区域。采取一般地面硬化即可。</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表4-9</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分区防渗方案一览表</w:t>
      </w:r>
    </w:p>
    <w:tbl>
      <w:tblPr>
        <w:tblStyle w:val="77"/>
        <w:tblW w:w="90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772"/>
        <w:gridCol w:w="1363"/>
        <w:gridCol w:w="1035"/>
        <w:gridCol w:w="2550"/>
        <w:gridCol w:w="17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638"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72"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363"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防渗区域及部位</w:t>
            </w:r>
          </w:p>
        </w:tc>
        <w:tc>
          <w:tcPr>
            <w:tcW w:w="1035"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防渗区类别</w:t>
            </w:r>
          </w:p>
        </w:tc>
        <w:tc>
          <w:tcPr>
            <w:tcW w:w="2550"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具体措施（供参考）</w:t>
            </w:r>
          </w:p>
        </w:tc>
        <w:tc>
          <w:tcPr>
            <w:tcW w:w="1721"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638"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72"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各类池体</w:t>
            </w:r>
            <w:r>
              <w:rPr>
                <w:rFonts w:hint="default" w:ascii="Times New Roman" w:hAnsi="Times New Roman" w:eastAsia="宋体" w:cs="Times New Roman"/>
                <w:color w:val="auto"/>
                <w:sz w:val="21"/>
                <w:szCs w:val="21"/>
                <w:lang w:eastAsia="zh-CN"/>
              </w:rPr>
              <w:t>及压滤间</w:t>
            </w:r>
          </w:p>
        </w:tc>
        <w:tc>
          <w:tcPr>
            <w:tcW w:w="1363"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池底和池壁</w:t>
            </w:r>
          </w:p>
        </w:tc>
        <w:tc>
          <w:tcPr>
            <w:tcW w:w="1035" w:type="dxa"/>
            <w:vMerge w:val="restart"/>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2550"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钢筋混凝土池体，底及池壁厚均为300mm，内侧刷防腐防渗涂层，底层侧壁外侧铺设防渗土工膜</w:t>
            </w:r>
          </w:p>
        </w:tc>
        <w:tc>
          <w:tcPr>
            <w:tcW w:w="1721" w:type="dxa"/>
            <w:vMerge w:val="restart"/>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水泥抗渗标号不低于P8，下伏等效黏土防渗层Mb&gt;6m，渗透系数不应大于1.0×10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4" w:hRule="atLeast"/>
          <w:jc w:val="center"/>
        </w:trPr>
        <w:tc>
          <w:tcPr>
            <w:tcW w:w="638"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72"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污水输送管道</w:t>
            </w:r>
          </w:p>
        </w:tc>
        <w:tc>
          <w:tcPr>
            <w:tcW w:w="1363"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管沟及沿线</w:t>
            </w:r>
          </w:p>
        </w:tc>
        <w:tc>
          <w:tcPr>
            <w:tcW w:w="1035" w:type="dxa"/>
            <w:vMerge w:val="continue"/>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p>
        </w:tc>
        <w:tc>
          <w:tcPr>
            <w:tcW w:w="2550"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管道采用耐腐蚀抗压的管道；管道之间的连接采用柔性的橡胶圈接口，管沟按要求防渗。</w:t>
            </w:r>
          </w:p>
        </w:tc>
        <w:tc>
          <w:tcPr>
            <w:tcW w:w="1721" w:type="dxa"/>
            <w:vMerge w:val="continue"/>
            <w:noWrap/>
            <w:vAlign w:val="center"/>
          </w:tcPr>
          <w:p>
            <w:pPr>
              <w:jc w:val="center"/>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638"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72"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综合车间及、办公室及</w:t>
            </w:r>
            <w:r>
              <w:rPr>
                <w:rFonts w:hint="default" w:ascii="Times New Roman" w:hAnsi="Times New Roman" w:eastAsia="宋体" w:cs="Times New Roman"/>
                <w:color w:val="auto"/>
                <w:sz w:val="21"/>
                <w:szCs w:val="21"/>
              </w:rPr>
              <w:t>污水处理站内道路等</w:t>
            </w:r>
          </w:p>
        </w:tc>
        <w:tc>
          <w:tcPr>
            <w:tcW w:w="1363"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露天地坪</w:t>
            </w:r>
          </w:p>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道路</w:t>
            </w:r>
          </w:p>
        </w:tc>
        <w:tc>
          <w:tcPr>
            <w:tcW w:w="1035"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w:t>
            </w:r>
          </w:p>
        </w:tc>
        <w:tc>
          <w:tcPr>
            <w:tcW w:w="2550"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地面硬化</w:t>
            </w:r>
          </w:p>
        </w:tc>
        <w:tc>
          <w:tcPr>
            <w:tcW w:w="1721" w:type="dxa"/>
            <w:noWrap/>
            <w:vAlign w:val="center"/>
          </w:tcPr>
          <w:p>
            <w:pPr>
              <w:pStyle w:val="39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水泥抗渗标号不低于P1级</w:t>
            </w:r>
          </w:p>
        </w:tc>
      </w:tr>
      <w:bookmarkEnd w:id="203"/>
      <w:bookmarkEnd w:id="204"/>
    </w:tbl>
    <w:p>
      <w:pPr>
        <w:pStyle w:val="5"/>
        <w:rPr>
          <w:rFonts w:hint="default" w:ascii="Times New Roman" w:hAnsi="Times New Roman" w:eastAsia="宋体" w:cs="Times New Roman"/>
          <w:color w:val="auto"/>
          <w:sz w:val="24"/>
          <w:szCs w:val="24"/>
        </w:rPr>
        <w:sectPr>
          <w:headerReference r:id="rId22" w:type="default"/>
          <w:footerReference r:id="rId23" w:type="default"/>
          <w:pgSz w:w="11906" w:h="16838"/>
          <w:pgMar w:top="1418" w:right="1418" w:bottom="1418" w:left="1418" w:header="283" w:footer="283" w:gutter="0"/>
          <w:pgBorders>
            <w:top w:val="none" w:sz="0" w:space="0"/>
            <w:left w:val="none" w:sz="0" w:space="0"/>
            <w:bottom w:val="none" w:sz="0" w:space="0"/>
            <w:right w:val="none" w:sz="0" w:space="0"/>
          </w:pgBorders>
          <w:pgNumType w:fmt="decimal"/>
          <w:cols w:space="720" w:num="1"/>
          <w:docGrid w:linePitch="312" w:charSpace="0"/>
        </w:sectPr>
      </w:pPr>
      <w:bookmarkStart w:id="214" w:name="_Toc19865"/>
      <w:bookmarkStart w:id="215" w:name="_Toc1168"/>
    </w:p>
    <w:p>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5.3地下水跟踪监测计划</w:t>
      </w:r>
      <w:bookmarkEnd w:id="214"/>
      <w:bookmarkEnd w:id="215"/>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次评价给出地下水监测计划，目的在于保护居民饮水安全，对评价区内的地下水污染及时预警，并采取合理的补救措施。因此，为了及时准确的掌握地下水水质的变化情况，评价建议建立评价区的区域地下水监控体系，其主要包括监测点位与监测项目、监测频率与监测因子、监测设备与监测人员等。</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1、监测点布设</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根据该项目的水文地质特点、影响区域及保护目标，</w:t>
      </w:r>
      <w:r>
        <w:rPr>
          <w:rFonts w:hint="default" w:ascii="Times New Roman" w:hAnsi="Times New Roman" w:eastAsia="宋体" w:cs="Times New Roman"/>
          <w:bCs/>
          <w:color w:val="auto"/>
          <w:sz w:val="24"/>
          <w:szCs w:val="24"/>
          <w:lang w:val="en-US" w:eastAsia="zh-CN"/>
        </w:rPr>
        <w:t>本项目拟在站区南侧设一个地下水监控井</w:t>
      </w:r>
      <w:r>
        <w:rPr>
          <w:rFonts w:hint="default" w:ascii="Times New Roman" w:hAnsi="Times New Roman" w:eastAsia="宋体" w:cs="Times New Roman"/>
          <w:bCs/>
          <w:color w:val="auto"/>
          <w:sz w:val="24"/>
          <w:szCs w:val="24"/>
        </w:rPr>
        <w:t>，以便进行长期监测</w:t>
      </w:r>
      <w:r>
        <w:rPr>
          <w:rFonts w:hint="default" w:ascii="Times New Roman" w:hAnsi="Times New Roman" w:eastAsia="宋体" w:cs="Times New Roman"/>
          <w:bCs/>
          <w:color w:val="auto"/>
          <w:sz w:val="24"/>
          <w:szCs w:val="24"/>
          <w:lang w:eastAsia="zh-CN"/>
        </w:rPr>
        <w:t>，要求监</w:t>
      </w:r>
      <w:r>
        <w:rPr>
          <w:rFonts w:hint="default" w:ascii="Times New Roman" w:hAnsi="Times New Roman" w:eastAsia="宋体" w:cs="Times New Roman"/>
          <w:bCs/>
          <w:color w:val="auto"/>
          <w:sz w:val="24"/>
          <w:szCs w:val="24"/>
          <w:lang w:val="en-US" w:eastAsia="zh-CN"/>
        </w:rPr>
        <w:t>控</w:t>
      </w:r>
      <w:r>
        <w:rPr>
          <w:rFonts w:hint="default" w:ascii="Times New Roman" w:hAnsi="Times New Roman" w:eastAsia="宋体" w:cs="Times New Roman"/>
          <w:bCs/>
          <w:color w:val="auto"/>
          <w:sz w:val="24"/>
          <w:szCs w:val="24"/>
          <w:lang w:eastAsia="zh-CN"/>
        </w:rPr>
        <w:t>井的深度要求为超过一直最大地下水埋深以下</w:t>
      </w:r>
      <w:r>
        <w:rPr>
          <w:rFonts w:hint="default" w:ascii="Times New Roman" w:hAnsi="Times New Roman" w:eastAsia="宋体" w:cs="Times New Roman"/>
          <w:bCs/>
          <w:color w:val="auto"/>
          <w:sz w:val="24"/>
          <w:szCs w:val="24"/>
          <w:lang w:val="en-US" w:eastAsia="zh-CN"/>
        </w:rPr>
        <w:t>2m，井管内径大于0.1m，并设置井口设置明显标识牌，井口高出地面0.5m-1m安装保护帽</w:t>
      </w:r>
      <w:r>
        <w:rPr>
          <w:rFonts w:hint="default" w:ascii="Times New Roman" w:hAnsi="Times New Roman" w:eastAsia="宋体" w:cs="Times New Roman"/>
          <w:bCs/>
          <w:color w:val="auto"/>
          <w:sz w:val="24"/>
          <w:szCs w:val="24"/>
        </w:rPr>
        <w:t>。监测点布设见表4-10和图6-2。</w:t>
      </w:r>
    </w:p>
    <w:p>
      <w:pPr>
        <w:keepNext w:val="0"/>
        <w:keepLines w:val="0"/>
        <w:pageBreakBefore w:val="0"/>
        <w:widowControl w:val="0"/>
        <w:kinsoku/>
        <w:wordWrap/>
        <w:overflowPunct/>
        <w:topLinePunct w:val="0"/>
        <w:autoSpaceDE/>
        <w:autoSpaceDN/>
        <w:bidi w:val="0"/>
        <w:adjustRightInd/>
        <w:snapToGrid/>
        <w:spacing w:before="79" w:beforeLines="25" w:after="79" w:afterLines="25"/>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表4-10    地下水跟踪监测计划一览表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00"/>
        <w:gridCol w:w="62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37" w:type="dxa"/>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4192" w:type="dxa"/>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点位布置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937" w:type="dxa"/>
            <w:noWrap/>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水质、水位</w:t>
            </w:r>
          </w:p>
        </w:tc>
        <w:tc>
          <w:tcPr>
            <w:tcW w:w="4192" w:type="dxa"/>
            <w:noWrap/>
            <w:vAlign w:val="center"/>
          </w:tcPr>
          <w:p>
            <w:pP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站区南侧地下水监</w:t>
            </w:r>
            <w:r>
              <w:rPr>
                <w:rFonts w:hint="default" w:ascii="Times New Roman" w:hAnsi="Times New Roman" w:eastAsia="宋体" w:cs="Times New Roman"/>
                <w:bCs/>
                <w:color w:val="auto"/>
                <w:sz w:val="21"/>
                <w:szCs w:val="21"/>
                <w:lang w:val="en-US" w:eastAsia="zh-CN"/>
              </w:rPr>
              <w:t>控</w:t>
            </w:r>
            <w:r>
              <w:rPr>
                <w:rFonts w:hint="default" w:ascii="Times New Roman" w:hAnsi="Times New Roman" w:eastAsia="宋体" w:cs="Times New Roman"/>
                <w:bCs/>
                <w:color w:val="auto"/>
                <w:sz w:val="21"/>
                <w:szCs w:val="21"/>
                <w:lang w:eastAsia="zh-CN"/>
              </w:rPr>
              <w:t>井</w:t>
            </w:r>
          </w:p>
        </w:tc>
      </w:tr>
    </w:tbl>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2、监测项目</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基本水质因子：pH、氨氮、硝酸盐、亚硝酸盐、挥发性酚类、氰化物、砷、汞、六价铬、镉、总硬度、铅、氟化物、铁、锰、溶解性总固体、高锰酸盐指数、硫酸盐、氯化物、菌落总数、总大肠菌群共21项，同时记录井深、水位和水温。</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3、监测频率</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污染控制监测井逢单月采样1次，全年6次。</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遇到特殊的情况或发生污染事故，可能影响地下水水质时，应随时增加采样频次。</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③地下水水位监测是测量静水位埋藏深度和高程。水位监测井的起测处（井口固定点）和附近地面必须测定高度。可按SL 58-93《水文普通测量规范》执行，按五等水准测量标准监测。</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水位监测每年1次（枯水期）。</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此外，取样器材与现场监测仪器和取样方法要参照相关要求。</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rPr>
        <w:t>上述监测结果应按项目有关规定及时建立档案，并定期向厂安全环保部门汇报，对于常规监测数据应该进行公开。如发现异常或发生事故，加密监测频次，改为每周监测一次，并分析污染原因，确定泄漏污染源，及时采取应急措施。</w:t>
      </w:r>
    </w:p>
    <w:p>
      <w:pPr>
        <w:pStyle w:val="5"/>
        <w:pageBreakBefore w:val="0"/>
        <w:kinsoku/>
        <w:wordWrap/>
        <w:overflowPunct/>
        <w:topLinePunct w:val="0"/>
        <w:autoSpaceDE/>
        <w:autoSpaceDN/>
        <w:bidi w:val="0"/>
        <w:spacing w:before="0" w:after="0" w:line="480" w:lineRule="exact"/>
        <w:textAlignment w:val="auto"/>
        <w:rPr>
          <w:rFonts w:hint="default" w:ascii="Times New Roman" w:hAnsi="Times New Roman" w:eastAsia="宋体" w:cs="Times New Roman"/>
          <w:color w:val="auto"/>
          <w:sz w:val="24"/>
          <w:szCs w:val="24"/>
        </w:rPr>
      </w:pPr>
      <w:bookmarkStart w:id="216" w:name="_Toc14354"/>
      <w:bookmarkStart w:id="217" w:name="_Toc456107794"/>
      <w:r>
        <w:rPr>
          <w:rFonts w:hint="default" w:ascii="Times New Roman" w:hAnsi="Times New Roman" w:eastAsia="宋体" w:cs="Times New Roman"/>
          <w:color w:val="auto"/>
          <w:sz w:val="24"/>
          <w:szCs w:val="24"/>
        </w:rPr>
        <w:t>5.4地下水应急预案及处理</w:t>
      </w:r>
      <w:bookmarkEnd w:id="216"/>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同物料的泄露对环境造成的危害程度差异较大，因此在事故情况下污染物泄露至地下水使其受到污染，应采取应急措施，防止污染物向下游扩散。因此本项目应以建设单位为体系建立的主体，制定专门的地下水污染应急预案，本节就项目地下水应急措施进行评述并提出应急预案编制的要求。</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（1）地下水污染应急预案编制要求</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①在制定</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color w:val="auto"/>
          <w:sz w:val="24"/>
        </w:rPr>
        <w:t>安全管理体制的基础上，制订专门的地下水污染事故的应急措施，并应与其它应急预案相协调。</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应急预案编制组应由应急指挥、环境评估、环境生态恢复、生产过程控制、环保、组织管理、医疗急救、监测、消防、工程抢险、防化、环境风险评估等各方面的专业人员及专家组成，制定明确的预案编制任务、职责分工和工作计划等。</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在项目污染源调查，周边地下水环境现状调查、地下水保护目标调查和应急能力评估结果的基础上，针对可能发生的环境污染事故类型和影响范围，编制应急预案，对应急机构职责、人员、技术、装备、设施、物资、救援行动及其指挥与协调等方面预先做出具体安排，应急预案应充分利用社会应急资源，与地方政府预案、上级主管单位及相关部门的预案相衔接。</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（2）地下水污染应急措施</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①当发生地下水异常情况时，按照定制的应急预案采取应急措施。</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（3）项目区水力梯度平缓，当发生污染事故时，污染物的运移速度较慢，污染范围较小，因此建议采取如下污染治理措施：</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①探明地下水污染深度、范围和污染程度。</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②挖出污染物泄露点处的包气带土壤，并进行修复治理工作，</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③根据地下水污染程度，采取抽水的方式，随时化验各监控井水质，根据水质情况实时调整。</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④将抽取的地下水进行集中收集处理，做好污水接收工作。</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⑤当地下水中的特征污染物浓度满足地下水功能区划标准后，逐步停止井点抽水，并进行善后工作。</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（4）注意的问题</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地下水污染的治理相对于地表水来说更加复杂，在进行具体的治理时，还需要考虑以下因素：</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①多种技术结合使用，治理初期先使用物理法或水动力控制法将污染区封闭，然后尽量收集纯污染物，最后再使用抽出处理法或原位法进行治理。</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②因为污染区域的水文地质条件和地球化学特性都会影响到地下水污染的治理，因此地下水污染的治理通常要以水文地质工作为前提。</w:t>
      </w:r>
    </w:p>
    <w:p>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rPr>
        <w:t>③受污染地下水的修复往往还要包括土壤的修复，地下水和土壤是相互作用的，由于雨水的淋滤或地下水位的波动，污染物会进入地下水体，形成交叉污染</w:t>
      </w:r>
      <w:r>
        <w:rPr>
          <w:rFonts w:hint="default" w:ascii="Times New Roman" w:hAnsi="Times New Roman" w:eastAsia="宋体" w:cs="Times New Roman"/>
          <w:bCs/>
          <w:color w:val="auto"/>
          <w:sz w:val="24"/>
          <w:szCs w:val="24"/>
        </w:rPr>
        <w:t>。</w:t>
      </w:r>
    </w:p>
    <w:p>
      <w:pPr>
        <w:pStyle w:val="4"/>
        <w:pageBreakBefore w:val="0"/>
        <w:kinsoku/>
        <w:wordWrap/>
        <w:overflowPunct/>
        <w:topLinePunct w:val="0"/>
        <w:autoSpaceDE/>
        <w:autoSpaceDN/>
        <w:bidi w:val="0"/>
        <w:spacing w:before="0" w:after="0" w:line="480" w:lineRule="exact"/>
        <w:jc w:val="both"/>
        <w:textAlignment w:val="auto"/>
        <w:rPr>
          <w:rFonts w:hint="default" w:ascii="Times New Roman" w:hAnsi="Times New Roman" w:eastAsia="宋体" w:cs="Times New Roman"/>
          <w:color w:val="auto"/>
          <w:sz w:val="24"/>
          <w:szCs w:val="24"/>
        </w:rPr>
      </w:pPr>
      <w:bookmarkStart w:id="218" w:name="_Toc24936"/>
      <w:bookmarkStart w:id="219" w:name="_Toc10351"/>
      <w:r>
        <w:rPr>
          <w:rFonts w:hint="default" w:ascii="Times New Roman" w:hAnsi="Times New Roman" w:eastAsia="宋体" w:cs="Times New Roman"/>
          <w:color w:val="auto"/>
          <w:sz w:val="24"/>
          <w:szCs w:val="24"/>
        </w:rPr>
        <w:t>6  地下水环境影响评价结论</w:t>
      </w:r>
      <w:bookmarkEnd w:id="217"/>
      <w:bookmarkEnd w:id="218"/>
      <w:bookmarkEnd w:id="219"/>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r>
        <w:rPr>
          <w:rFonts w:hint="default" w:ascii="Times New Roman" w:hAnsi="Times New Roman" w:eastAsia="宋体" w:cs="Times New Roman"/>
          <w:color w:val="auto"/>
          <w:sz w:val="24"/>
          <w:szCs w:val="24"/>
        </w:rPr>
        <w:t>现状监测结果中，地下水调查范围内各个监测点的监测因子均达到《地下水质量标准》（GB/T 14848-2017）中的Ⅲ类标准。分析认为，区域地下水质量较好。</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2、根据地下水环境影响评价，</w:t>
      </w:r>
      <w:r>
        <w:rPr>
          <w:rStyle w:val="91"/>
          <w:rFonts w:hint="default" w:ascii="Times New Roman" w:hAnsi="Times New Roman" w:eastAsia="宋体" w:cs="Times New Roman"/>
          <w:color w:val="auto"/>
          <w:kern w:val="2"/>
          <w:sz w:val="24"/>
          <w:szCs w:val="24"/>
        </w:rPr>
        <w:t>厂内生活污水</w:t>
      </w:r>
      <w:r>
        <w:rPr>
          <w:rStyle w:val="91"/>
          <w:rFonts w:hint="default" w:ascii="Times New Roman" w:hAnsi="Times New Roman" w:eastAsia="宋体" w:cs="Times New Roman"/>
          <w:color w:val="auto"/>
          <w:kern w:val="2"/>
          <w:sz w:val="24"/>
          <w:szCs w:val="24"/>
          <w:lang w:eastAsia="zh-CN"/>
        </w:rPr>
        <w:t>进入</w:t>
      </w:r>
      <w:r>
        <w:rPr>
          <w:rStyle w:val="91"/>
          <w:rFonts w:hint="default" w:ascii="Times New Roman" w:hAnsi="Times New Roman" w:eastAsia="宋体" w:cs="Times New Roman"/>
          <w:color w:val="auto"/>
          <w:kern w:val="2"/>
          <w:sz w:val="24"/>
          <w:szCs w:val="24"/>
        </w:rPr>
        <w:t>项目污水处理系统处理。经污水处理系统处理达标后的废水经排污渠排入滹沱河。</w:t>
      </w:r>
      <w:r>
        <w:rPr>
          <w:rStyle w:val="91"/>
          <w:rFonts w:hint="default" w:ascii="Times New Roman" w:hAnsi="Times New Roman" w:eastAsia="宋体" w:cs="Times New Roman"/>
          <w:color w:val="auto"/>
          <w:kern w:val="2"/>
          <w:sz w:val="24"/>
          <w:szCs w:val="24"/>
          <w:lang w:eastAsia="zh-CN"/>
        </w:rPr>
        <w:t>污水处理设施的</w:t>
      </w:r>
      <w:r>
        <w:rPr>
          <w:rFonts w:hint="default" w:ascii="Times New Roman" w:hAnsi="Times New Roman" w:eastAsia="宋体" w:cs="Times New Roman"/>
          <w:bCs/>
          <w:color w:val="auto"/>
          <w:sz w:val="24"/>
          <w:szCs w:val="24"/>
        </w:rPr>
        <w:t>各类水池均做防渗处置，不会对</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bCs/>
          <w:color w:val="auto"/>
          <w:sz w:val="24"/>
          <w:szCs w:val="24"/>
        </w:rPr>
        <w:t>周围地下水环境产生直接影响。</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w:t>
      </w:r>
      <w:r>
        <w:rPr>
          <w:rFonts w:hint="default" w:ascii="Times New Roman" w:hAnsi="Times New Roman" w:eastAsia="宋体" w:cs="Times New Roman"/>
          <w:color w:val="auto"/>
          <w:sz w:val="24"/>
          <w:szCs w:val="24"/>
          <w:lang w:val="zh-CN"/>
        </w:rPr>
        <w:t>站区</w:t>
      </w:r>
      <w:r>
        <w:rPr>
          <w:rFonts w:hint="default" w:ascii="Times New Roman" w:hAnsi="Times New Roman" w:eastAsia="宋体" w:cs="Times New Roman"/>
          <w:bCs/>
          <w:color w:val="auto"/>
          <w:sz w:val="24"/>
          <w:szCs w:val="24"/>
        </w:rPr>
        <w:t>划分为重点防渗区、简单防渗区。</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综上所述，在运营期间加强管理，严格遵循地下水环境保护措施的前提下，本建设项目对地下水环境的影响可以接受，项目可行。</w:t>
      </w:r>
    </w:p>
    <w:p>
      <w:pPr>
        <w:rPr>
          <w:rFonts w:hint="default" w:ascii="Times New Roman" w:hAnsi="Times New Roman" w:eastAsia="宋体" w:cs="Times New Roman"/>
          <w:color w:val="auto"/>
        </w:rPr>
        <w:sectPr>
          <w:footerReference r:id="rId24" w:type="default"/>
          <w:pgSz w:w="11906" w:h="16838"/>
          <w:pgMar w:top="1361" w:right="1474" w:bottom="1361" w:left="1474" w:header="851" w:footer="992" w:gutter="0"/>
          <w:pgBorders>
            <w:top w:val="none" w:sz="0" w:space="0"/>
            <w:left w:val="none" w:sz="0" w:space="0"/>
            <w:bottom w:val="none" w:sz="0" w:space="0"/>
            <w:right w:val="none" w:sz="0" w:space="0"/>
          </w:pgBorders>
          <w:pgNumType w:fmt="decimal" w:start="47"/>
          <w:cols w:space="425" w:num="1"/>
          <w:docGrid w:type="lines" w:linePitch="312" w:charSpace="0"/>
        </w:sectPr>
      </w:pPr>
    </w:p>
    <w:p>
      <w:pPr>
        <w:rPr>
          <w:rFonts w:hint="default"/>
        </w:rPr>
      </w:pPr>
      <w:r>
        <w:drawing>
          <wp:anchor distT="0" distB="0" distL="114300" distR="114300" simplePos="0" relativeHeight="251680768" behindDoc="1" locked="0" layoutInCell="1" allowOverlap="1">
            <wp:simplePos x="0" y="0"/>
            <wp:positionH relativeFrom="column">
              <wp:posOffset>1713865</wp:posOffset>
            </wp:positionH>
            <wp:positionV relativeFrom="paragraph">
              <wp:posOffset>-1097280</wp:posOffset>
            </wp:positionV>
            <wp:extent cx="5694045" cy="8070850"/>
            <wp:effectExtent l="0" t="0" r="6350" b="1905"/>
            <wp:wrapNone/>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70"/>
                    <a:stretch>
                      <a:fillRect/>
                    </a:stretch>
                  </pic:blipFill>
                  <pic:spPr>
                    <a:xfrm rot="5400000">
                      <a:off x="0" y="0"/>
                      <a:ext cx="5694045" cy="8070850"/>
                    </a:xfrm>
                    <a:prstGeom prst="rect">
                      <a:avLst/>
                    </a:prstGeom>
                    <a:noFill/>
                    <a:ln>
                      <a:noFill/>
                    </a:ln>
                  </pic:spPr>
                </pic:pic>
              </a:graphicData>
            </a:graphic>
          </wp:anchor>
        </w:drawing>
      </w:r>
    </w:p>
    <w:sectPr>
      <w:footerReference r:id="rId25" w:type="default"/>
      <w:pgSz w:w="16838" w:h="11906" w:orient="landscape"/>
      <w:pgMar w:top="1474" w:right="1361" w:bottom="1474" w:left="136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Plotter">
    <w:altName w:val="Arial"/>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MS Shell Dlg">
    <w:altName w:val="Microsoft Sans Serif"/>
    <w:panose1 w:val="020B0604020202020204"/>
    <w:charset w:val="00"/>
    <w:family w:val="swiss"/>
    <w:pitch w:val="default"/>
    <w:sig w:usb0="00000000" w:usb1="00000000" w:usb2="00000029" w:usb3="00000000" w:csb0="000101FF" w:csb1="00000000"/>
  </w:font>
  <w:font w:name="Microsoft Sans Serif">
    <w:panose1 w:val="020B0604020202020204"/>
    <w:charset w:val="00"/>
    <w:family w:val="auto"/>
    <w:pitch w:val="default"/>
    <w:sig w:usb0="E1002AFF" w:usb1="C0000002" w:usb2="00000008" w:usb3="00000000" w:csb0="200101FF" w:csb1="20280000"/>
  </w:font>
  <w:font w:name="方正隶变简体">
    <w:altName w:val="微软雅黑"/>
    <w:panose1 w:val="02010601030101010101"/>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left" w:pos="7020"/>
      </w:tabs>
      <w:jc w:val="center"/>
      <w:rPr>
        <w:szCs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3074" o:spid="_x0000_s3074"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Fe+iphcCAAAXBAAADgAAAAAA&#10;AAABACAAAAAfAQAAZHJzL2Uyb0RvYy54bWxQSwUGAAAAAAYABgBZAQAAqAUAAAAA&#10;">
          <v:path/>
          <v:fill on="f" focussize="0,0"/>
          <v:stroke on="f" weight="0.5pt" joinstyle="miter"/>
          <v:imagedata o:title=""/>
          <o:lock v:ext="edit"/>
          <v:textbox inset="0mm,0mm,0mm,0mm" style="mso-fit-shape-to-text:t;">
            <w:txbxContent>
              <w:p>
                <w:pPr>
                  <w:pStyle w:val="49"/>
                  <w:rPr>
                    <w:rStyle w:val="81"/>
                    <w:sz w:val="21"/>
                    <w:szCs w:val="21"/>
                  </w:rPr>
                </w:pPr>
                <w:r>
                  <w:rPr>
                    <w:rStyle w:val="81"/>
                    <w:sz w:val="21"/>
                    <w:szCs w:val="21"/>
                  </w:rPr>
                  <w:fldChar w:fldCharType="begin"/>
                </w:r>
                <w:r>
                  <w:rPr>
                    <w:rStyle w:val="81"/>
                    <w:sz w:val="21"/>
                    <w:szCs w:val="21"/>
                  </w:rPr>
                  <w:instrText xml:space="preserve">PAGE  </w:instrText>
                </w:r>
                <w:r>
                  <w:rPr>
                    <w:rStyle w:val="81"/>
                    <w:sz w:val="21"/>
                    <w:szCs w:val="21"/>
                  </w:rPr>
                  <w:fldChar w:fldCharType="separate"/>
                </w:r>
                <w:r>
                  <w:rPr>
                    <w:rStyle w:val="81"/>
                    <w:sz w:val="21"/>
                    <w:szCs w:val="21"/>
                  </w:rPr>
                  <w:t>13</w:t>
                </w:r>
                <w:r>
                  <w:rPr>
                    <w:rStyle w:val="81"/>
                    <w:sz w:val="21"/>
                    <w:szCs w:val="21"/>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20"/>
      <w:jc w:val="center"/>
    </w:pPr>
    <w:r>
      <w:pict>
        <v:shape id="_x0000_s3075" o:spid="_x0000_s3075"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joinstyle="miter"/>
          <v:imagedata o:title=""/>
          <o:lock v:ext="edit"/>
          <v:textbox inset="0mm,0mm,0mm,0mm" style="mso-fit-shape-to-text:t;">
            <w:txbxContent>
              <w:sdt>
                <w:sdtPr>
                  <w:id w:val="37218565"/>
                </w:sdtPr>
                <w:sdtContent>
                  <w:p>
                    <w:pPr>
                      <w:pStyle w:val="49"/>
                      <w:ind w:firstLine="420"/>
                      <w:jc w:val="center"/>
                    </w:pPr>
                    <w:r>
                      <w:fldChar w:fldCharType="begin"/>
                    </w:r>
                    <w:r>
                      <w:instrText xml:space="preserve"> PAGE   \* MERGEFORMAT </w:instrText>
                    </w:r>
                    <w:r>
                      <w:fldChar w:fldCharType="separate"/>
                    </w:r>
                    <w:r>
                      <w:rPr>
                        <w:lang w:val="zh-CN"/>
                      </w:rPr>
                      <w:t>21</w:t>
                    </w:r>
                    <w:r>
                      <w:rPr>
                        <w:lang w:val="zh-CN"/>
                      </w:rPr>
                      <w:fldChar w:fldCharType="end"/>
                    </w:r>
                  </w:p>
                </w:sdtContent>
              </w:sdt>
              <w:p>
                <w:pPr>
                  <w:pStyle w:val="75"/>
                  <w:ind w:firstLine="210"/>
                </w:pPr>
              </w:p>
            </w:txbxContent>
          </v:textbox>
        </v:shape>
      </w:pict>
    </w:r>
  </w:p>
  <w:p>
    <w:pPr>
      <w:pStyle w:val="4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r>
      <w:pict>
        <v:shape id="_x0000_s3077" o:spid="_x0000_s3077"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joinstyle="miter"/>
          <v:imagedata o:title=""/>
          <o:lock v:ext="edit"/>
          <v:textbox inset="0mm,0mm,0mm,0mm" style="mso-fit-shape-to-text:t;">
            <w:txbxContent>
              <w:p>
                <w:pPr>
                  <w:pStyle w:val="49"/>
                  <w:rPr>
                    <w:rStyle w:val="81"/>
                    <w:rFonts w:ascii="Times New Roman" w:hAnsi="Times New Roman" w:cs="Times New Roman"/>
                    <w:sz w:val="21"/>
                    <w:szCs w:val="21"/>
                  </w:rPr>
                </w:pPr>
                <w:r>
                  <w:rPr>
                    <w:rFonts w:ascii="Times New Roman" w:hAnsi="Times New Roman" w:cs="Times New Roman"/>
                    <w:sz w:val="21"/>
                    <w:szCs w:val="21"/>
                  </w:rPr>
                  <w:fldChar w:fldCharType="begin"/>
                </w:r>
                <w:r>
                  <w:rPr>
                    <w:rStyle w:val="81"/>
                    <w:rFonts w:ascii="Times New Roman" w:hAnsi="Times New Roman" w:cs="Times New Roman"/>
                    <w:sz w:val="21"/>
                    <w:szCs w:val="21"/>
                  </w:rPr>
                  <w:instrText xml:space="preserve">PAGE  </w:instrText>
                </w:r>
                <w:r>
                  <w:rPr>
                    <w:rFonts w:ascii="Times New Roman" w:hAnsi="Times New Roman" w:cs="Times New Roman"/>
                    <w:sz w:val="21"/>
                    <w:szCs w:val="21"/>
                  </w:rPr>
                  <w:fldChar w:fldCharType="separate"/>
                </w:r>
                <w:r>
                  <w:rPr>
                    <w:rStyle w:val="81"/>
                    <w:rFonts w:ascii="Times New Roman" w:hAnsi="Times New Roman" w:cs="Times New Roman"/>
                    <w:sz w:val="21"/>
                    <w:szCs w:val="21"/>
                  </w:rPr>
                  <w:t>52</w:t>
                </w:r>
                <w:r>
                  <w:rPr>
                    <w:rFonts w:ascii="Times New Roman" w:hAnsi="Times New Roman" w:cs="Times New Roman"/>
                    <w:sz w:val="21"/>
                    <w:szCs w:val="21"/>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r>
      <w:pict>
        <v:shape id="_x0000_s3078" o:spid="_x0000_s3078"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joinstyle="miter"/>
          <v:imagedata o:title=""/>
          <o:lock v:ext="edit"/>
          <v:textbox inset="0mm,0mm,0mm,0mm" style="mso-fit-shape-to-text:t;">
            <w:txbxContent>
              <w:p>
                <w:pPr>
                  <w:pStyle w:val="49"/>
                  <w:rPr>
                    <w:rStyle w:val="81"/>
                    <w:sz w:val="21"/>
                    <w:szCs w:val="21"/>
                  </w:rPr>
                </w:pPr>
                <w:r>
                  <w:rPr>
                    <w:rFonts w:ascii="Times New Roman" w:hAnsi="Times New Roman" w:cs="Times New Roman"/>
                    <w:sz w:val="21"/>
                    <w:szCs w:val="21"/>
                  </w:rPr>
                  <w:fldChar w:fldCharType="begin"/>
                </w:r>
                <w:r>
                  <w:rPr>
                    <w:rStyle w:val="81"/>
                    <w:rFonts w:ascii="Times New Roman" w:hAnsi="Times New Roman" w:cs="Times New Roman"/>
                    <w:sz w:val="21"/>
                    <w:szCs w:val="21"/>
                  </w:rPr>
                  <w:instrText xml:space="preserve">PAGE  </w:instrText>
                </w:r>
                <w:r>
                  <w:rPr>
                    <w:rFonts w:ascii="Times New Roman" w:hAnsi="Times New Roman" w:cs="Times New Roman"/>
                    <w:sz w:val="21"/>
                    <w:szCs w:val="21"/>
                  </w:rPr>
                  <w:fldChar w:fldCharType="separate"/>
                </w:r>
                <w:r>
                  <w:rPr>
                    <w:rStyle w:val="81"/>
                    <w:rFonts w:ascii="Times New Roman" w:hAnsi="Times New Roman" w:cs="Times New Roman"/>
                    <w:sz w:val="21"/>
                    <w:szCs w:val="21"/>
                  </w:rPr>
                  <w:t>57</w:t>
                </w:r>
                <w:r>
                  <w:rPr>
                    <w:rFonts w:ascii="Times New Roman" w:hAnsi="Times New Roman" w:cs="Times New Roman"/>
                    <w:sz w:val="21"/>
                    <w:szCs w:val="21"/>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both"/>
    </w:pPr>
    <w:r>
      <w:pict>
        <v:shape id="_x0000_s3079" o:spid="_x0000_s3079" o:spt="202" type="#_x0000_t202" style="position:absolute;left:0pt;margin-left:211pt;margin-top:-34.5pt;height:144pt;width:144pt;mso-position-horizontal-relative:margin;mso-wrap-style:none;z-index:251678720;mso-width-relative:page;mso-height-relative:page;" filled="f" stroked="f" coordsize="21600,21600">
          <v:path/>
          <v:fill on="f" focussize="0,0"/>
          <v:stroke on="f" joinstyle="miter"/>
          <v:imagedata o:title=""/>
          <o:lock v:ext="edit"/>
          <v:textbox inset="0mm,0mm,0mm,0mm" style="mso-fit-shape-to-text:t;">
            <w:txbxContent>
              <w:sdt>
                <w:sdtPr>
                  <w:id w:val="37218578"/>
                </w:sdtPr>
                <w:sdtContent>
                  <w:p>
                    <w:pPr>
                      <w:pStyle w:val="49"/>
                      <w:ind w:firstLine="420"/>
                      <w:jc w:val="center"/>
                    </w:pPr>
                    <w:r>
                      <w:fldChar w:fldCharType="begin"/>
                    </w:r>
                    <w:r>
                      <w:instrText xml:space="preserve"> PAGE   \* MERGEFORMAT </w:instrText>
                    </w:r>
                    <w:r>
                      <w:fldChar w:fldCharType="separate"/>
                    </w:r>
                    <w:r>
                      <w:rPr>
                        <w:lang w:val="zh-CN"/>
                      </w:rPr>
                      <w:t>64</w:t>
                    </w:r>
                    <w:r>
                      <w:rPr>
                        <w:lang w:val="zh-CN"/>
                      </w:rPr>
                      <w:fldChar w:fldCharType="end"/>
                    </w:r>
                  </w:p>
                </w:sdtContent>
              </w:sdt>
              <w:p>
                <w:pPr>
                  <w:pStyle w:val="75"/>
                  <w:ind w:firstLine="210"/>
                </w:pPr>
              </w:p>
            </w:txbxContent>
          </v:textbox>
        </v:shape>
      </w:pict>
    </w:r>
  </w:p>
  <w:p>
    <w:pPr>
      <w:pStyle w:val="49"/>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left" w:pos="7020"/>
      </w:tabs>
    </w:pPr>
    <w:r>
      <w:rPr>
        <w:sz w:val="18"/>
      </w:rPr>
      <w:pict>
        <v:shape id="_x0000_s3080" o:spid="_x0000_s3080"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dashstyle="dash"/>
          <v:imagedata o:title=""/>
          <o:lock v:ext="edit" aspectratio="f"/>
          <v:textbox inset="0mm,0mm,0mm,0mm" style="mso-fit-shape-to-text:t;">
            <w:txbxContent>
              <w:p>
                <w:pPr>
                  <w:pStyle w:val="4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left" w:pos="70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370" w:wrap="around" w:vAnchor="text" w:hAnchor="margin" w:xAlign="center" w:y="1"/>
      <w:rPr>
        <w:rStyle w:val="81"/>
        <w:rFonts w:eastAsia="方正隶变简体"/>
        <w:sz w:val="21"/>
        <w:szCs w:val="21"/>
      </w:rPr>
    </w:pPr>
    <w:r>
      <w:rPr>
        <w:rFonts w:eastAsia="方正隶变简体"/>
        <w:sz w:val="21"/>
        <w:szCs w:val="21"/>
      </w:rPr>
      <w:fldChar w:fldCharType="begin"/>
    </w:r>
    <w:r>
      <w:rPr>
        <w:rStyle w:val="81"/>
        <w:rFonts w:eastAsia="方正隶变简体"/>
        <w:sz w:val="21"/>
        <w:szCs w:val="21"/>
      </w:rPr>
      <w:instrText xml:space="preserve">PAGE  </w:instrText>
    </w:r>
    <w:r>
      <w:rPr>
        <w:rFonts w:eastAsia="方正隶变简体"/>
        <w:sz w:val="21"/>
        <w:szCs w:val="21"/>
      </w:rPr>
      <w:fldChar w:fldCharType="separate"/>
    </w:r>
    <w:r>
      <w:rPr>
        <w:rStyle w:val="81"/>
        <w:rFonts w:eastAsia="方正隶变简体"/>
        <w:sz w:val="21"/>
        <w:szCs w:val="21"/>
      </w:rPr>
      <w:t>4</w:t>
    </w:r>
    <w:r>
      <w:rPr>
        <w:rFonts w:eastAsia="方正隶变简体"/>
        <w:sz w:val="21"/>
        <w:szCs w:val="21"/>
      </w:rPr>
      <w:fldChar w:fldCharType="end"/>
    </w:r>
  </w:p>
  <w:p>
    <w:pPr>
      <w:pStyle w:val="4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jc w:val="left"/>
      <w:rPr>
        <w:kern w:val="0"/>
        <w:sz w:val="18"/>
        <w:szCs w:val="18"/>
      </w:rPr>
    </w:pPr>
    <w:r>
      <w:rPr>
        <w:kern w:val="0"/>
        <w:sz w:val="18"/>
        <w:szCs w:val="18"/>
      </w:rPr>
      <w:fldChar w:fldCharType="begin"/>
    </w:r>
    <w:r>
      <w:rPr>
        <w:kern w:val="0"/>
        <w:sz w:val="18"/>
        <w:szCs w:val="18"/>
      </w:rPr>
      <w:instrText xml:space="preserve">PAGE  </w:instrText>
    </w:r>
    <w:r>
      <w:rPr>
        <w:kern w:val="0"/>
        <w:sz w:val="18"/>
        <w:szCs w:val="18"/>
      </w:rPr>
      <w:fldChar w:fldCharType="separate"/>
    </w:r>
    <w:r>
      <w:rPr>
        <w:kern w:val="0"/>
        <w:sz w:val="18"/>
        <w:szCs w:val="18"/>
      </w:rPr>
      <w:t>65</w:t>
    </w:r>
    <w:r>
      <w:rPr>
        <w:kern w:val="0"/>
        <w:sz w:val="18"/>
        <w:szCs w:val="18"/>
      </w:rPr>
      <w:fldChar w:fldCharType="end"/>
    </w:r>
  </w:p>
  <w:p>
    <w:pPr>
      <w:pStyle w:val="4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left" w:pos="7020"/>
      </w:tabs>
    </w:pPr>
    <w:r>
      <w:rPr>
        <w:rFonts w:hint="eastAsia" w:eastAsia="黑体"/>
        <w:b/>
        <w:color w:val="000000"/>
        <w:sz w:val="22"/>
        <w:szCs w:val="22"/>
      </w:rPr>
      <w:t>山西智威环保科技咨询有限公司</w:t>
    </w:r>
    <w:r>
      <w:rPr>
        <w:rStyle w:val="81"/>
      </w:rPr>
      <w:fldChar w:fldCharType="begin"/>
    </w:r>
    <w:r>
      <w:rPr>
        <w:rStyle w:val="81"/>
      </w:rPr>
      <w:instrText xml:space="preserve"> PAGE </w:instrText>
    </w:r>
    <w:r>
      <w:rPr>
        <w:rStyle w:val="81"/>
      </w:rPr>
      <w:fldChar w:fldCharType="separate"/>
    </w:r>
    <w:r>
      <w:rPr>
        <w:rStyle w:val="81"/>
      </w:rPr>
      <w:t>29</w:t>
    </w:r>
    <w:r>
      <w:rPr>
        <w:rStyle w:val="81"/>
      </w:rPr>
      <w:fldChar w:fldCharType="end"/>
    </w:r>
    <w:r>
      <w:rPr>
        <w:rFonts w:hint="eastAsia" w:eastAsia="黑体"/>
        <w:b/>
        <w:sz w:val="22"/>
        <w:szCs w:val="22"/>
      </w:rPr>
      <w:t>国环评证乙字第</w:t>
    </w:r>
    <w:r>
      <w:rPr>
        <w:rFonts w:eastAsia="黑体"/>
        <w:b/>
        <w:sz w:val="22"/>
        <w:szCs w:val="22"/>
      </w:rPr>
      <w:t>1337</w:t>
    </w:r>
    <w:r>
      <w:rPr>
        <w:rFonts w:hint="eastAsia" w:eastAsia="黑体"/>
        <w:b/>
        <w:sz w:val="22"/>
        <w:szCs w:val="22"/>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1"/>
      </w:rPr>
    </w:pPr>
    <w:r>
      <w:rPr>
        <w:rStyle w:val="81"/>
      </w:rPr>
      <w:fldChar w:fldCharType="begin"/>
    </w:r>
    <w:r>
      <w:rPr>
        <w:rStyle w:val="81"/>
      </w:rPr>
      <w:instrText xml:space="preserve">PAGE  </w:instrText>
    </w:r>
    <w:r>
      <w:rPr>
        <w:rStyle w:val="81"/>
      </w:rPr>
      <w:fldChar w:fldCharType="separate"/>
    </w:r>
    <w:r>
      <w:rPr>
        <w:rStyle w:val="81"/>
      </w:rPr>
      <w:t>72</w:t>
    </w:r>
    <w:r>
      <w:rPr>
        <w:rStyle w:val="81"/>
      </w:rPr>
      <w:fldChar w:fldCharType="end"/>
    </w:r>
  </w:p>
  <w:p>
    <w:pPr>
      <w:pStyle w:val="49"/>
      <w:tabs>
        <w:tab w:val="left" w:pos="7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050" w:firstLineChars="2250"/>
    </w:pPr>
  </w:p>
  <w:p>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r>
      <w:pict>
        <v:shape id="文本框 14" o:spid="_x0000_s3073"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Ri7E+7IB&#10;AABbAwAADgAAAAAAAAABACAAAAAeAQAAZHJzL2Uyb0RvYy54bWxQSwUGAAAAAAYABgBZAQAAQgUA&#10;AAAA&#10;">
          <v:path/>
          <v:fill on="f" focussize="0,0"/>
          <v:stroke on="f" joinstyle="miter"/>
          <v:imagedata o:title=""/>
          <o:lock v:ext="edit"/>
          <v:textbox inset="0mm,0mm,0mm,0mm" style="mso-fit-shape-to-text:t;">
            <w:txbxContent>
              <w:p>
                <w:pPr>
                  <w:pStyle w:val="49"/>
                </w:pPr>
                <w:r>
                  <w:fldChar w:fldCharType="begin"/>
                </w:r>
                <w:r>
                  <w:instrText xml:space="preserve"> PAGE  \* MERGEFORMAT </w:instrText>
                </w:r>
                <w:r>
                  <w:fldChar w:fldCharType="separate"/>
                </w:r>
                <w:r>
                  <w:t>44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rPr>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4A916"/>
    <w:multiLevelType w:val="singleLevel"/>
    <w:tmpl w:val="8544A916"/>
    <w:lvl w:ilvl="0" w:tentative="0">
      <w:start w:val="1"/>
      <w:numFmt w:val="decimal"/>
      <w:suff w:val="nothing"/>
      <w:lvlText w:val="（%1）"/>
      <w:lvlJc w:val="left"/>
    </w:lvl>
  </w:abstractNum>
  <w:abstractNum w:abstractNumId="1">
    <w:nsid w:val="87082EAD"/>
    <w:multiLevelType w:val="singleLevel"/>
    <w:tmpl w:val="87082EAD"/>
    <w:lvl w:ilvl="0" w:tentative="0">
      <w:start w:val="1"/>
      <w:numFmt w:val="decimal"/>
      <w:suff w:val="nothing"/>
      <w:lvlText w:val="（%1）"/>
      <w:lvlJc w:val="left"/>
    </w:lvl>
  </w:abstractNum>
  <w:abstractNum w:abstractNumId="2">
    <w:nsid w:val="9A74703B"/>
    <w:multiLevelType w:val="singleLevel"/>
    <w:tmpl w:val="9A74703B"/>
    <w:lvl w:ilvl="0" w:tentative="0">
      <w:start w:val="1"/>
      <w:numFmt w:val="decimal"/>
      <w:suff w:val="nothing"/>
      <w:lvlText w:val="（%1）"/>
      <w:lvlJc w:val="left"/>
    </w:lvl>
  </w:abstractNum>
  <w:abstractNum w:abstractNumId="3">
    <w:nsid w:val="597C25D2"/>
    <w:multiLevelType w:val="singleLevel"/>
    <w:tmpl w:val="597C25D2"/>
    <w:lvl w:ilvl="0" w:tentative="0">
      <w:start w:val="1"/>
      <w:numFmt w:val="decimal"/>
      <w:suff w:val="nothing"/>
      <w:lvlText w:val="（%1）"/>
      <w:lvlJc w:val="left"/>
    </w:lvl>
  </w:abstractNum>
  <w:abstractNum w:abstractNumId="4">
    <w:nsid w:val="7C022A98"/>
    <w:multiLevelType w:val="singleLevel"/>
    <w:tmpl w:val="7C022A98"/>
    <w:lvl w:ilvl="0" w:tentative="0">
      <w:start w:val="3"/>
      <w:numFmt w:val="decimal"/>
      <w:suff w:val="nothing"/>
      <w:lvlText w:val="%1、"/>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5CC"/>
    <w:rsid w:val="00001C99"/>
    <w:rsid w:val="00002399"/>
    <w:rsid w:val="00002E5C"/>
    <w:rsid w:val="0000388C"/>
    <w:rsid w:val="0000512A"/>
    <w:rsid w:val="00005158"/>
    <w:rsid w:val="00005C27"/>
    <w:rsid w:val="00007264"/>
    <w:rsid w:val="0000727E"/>
    <w:rsid w:val="00010FAE"/>
    <w:rsid w:val="00011A1B"/>
    <w:rsid w:val="00011C47"/>
    <w:rsid w:val="00011F72"/>
    <w:rsid w:val="0001229B"/>
    <w:rsid w:val="0001264A"/>
    <w:rsid w:val="00012D25"/>
    <w:rsid w:val="000134E3"/>
    <w:rsid w:val="0001381C"/>
    <w:rsid w:val="00013847"/>
    <w:rsid w:val="000142DC"/>
    <w:rsid w:val="00014920"/>
    <w:rsid w:val="00014B16"/>
    <w:rsid w:val="000160F3"/>
    <w:rsid w:val="00016CE6"/>
    <w:rsid w:val="000172E5"/>
    <w:rsid w:val="00017CC3"/>
    <w:rsid w:val="000218EA"/>
    <w:rsid w:val="00021C82"/>
    <w:rsid w:val="00021F6E"/>
    <w:rsid w:val="00021FE3"/>
    <w:rsid w:val="000232E9"/>
    <w:rsid w:val="00023816"/>
    <w:rsid w:val="0002389A"/>
    <w:rsid w:val="00023949"/>
    <w:rsid w:val="00024305"/>
    <w:rsid w:val="00024C52"/>
    <w:rsid w:val="00025643"/>
    <w:rsid w:val="00026830"/>
    <w:rsid w:val="00026963"/>
    <w:rsid w:val="00026A75"/>
    <w:rsid w:val="00026C82"/>
    <w:rsid w:val="00027654"/>
    <w:rsid w:val="00027681"/>
    <w:rsid w:val="00027698"/>
    <w:rsid w:val="00027A78"/>
    <w:rsid w:val="00027BC8"/>
    <w:rsid w:val="00031592"/>
    <w:rsid w:val="000327CF"/>
    <w:rsid w:val="0003309B"/>
    <w:rsid w:val="000330CE"/>
    <w:rsid w:val="00033860"/>
    <w:rsid w:val="000346BD"/>
    <w:rsid w:val="00034839"/>
    <w:rsid w:val="0003496F"/>
    <w:rsid w:val="00034C19"/>
    <w:rsid w:val="00034F3E"/>
    <w:rsid w:val="0003520E"/>
    <w:rsid w:val="0003536C"/>
    <w:rsid w:val="00035EEB"/>
    <w:rsid w:val="00035F15"/>
    <w:rsid w:val="000360D8"/>
    <w:rsid w:val="000362C5"/>
    <w:rsid w:val="00037107"/>
    <w:rsid w:val="0004110E"/>
    <w:rsid w:val="0004145E"/>
    <w:rsid w:val="00041C1B"/>
    <w:rsid w:val="00042593"/>
    <w:rsid w:val="00042770"/>
    <w:rsid w:val="000429CE"/>
    <w:rsid w:val="000430C3"/>
    <w:rsid w:val="00043593"/>
    <w:rsid w:val="00043962"/>
    <w:rsid w:val="0004413D"/>
    <w:rsid w:val="00044A89"/>
    <w:rsid w:val="0004527D"/>
    <w:rsid w:val="000468E7"/>
    <w:rsid w:val="000475A3"/>
    <w:rsid w:val="000477A7"/>
    <w:rsid w:val="000500FC"/>
    <w:rsid w:val="00050559"/>
    <w:rsid w:val="00050A20"/>
    <w:rsid w:val="00052D59"/>
    <w:rsid w:val="000532E9"/>
    <w:rsid w:val="0005357F"/>
    <w:rsid w:val="00053ADA"/>
    <w:rsid w:val="00054448"/>
    <w:rsid w:val="00054C95"/>
    <w:rsid w:val="000552A6"/>
    <w:rsid w:val="000559A1"/>
    <w:rsid w:val="00056771"/>
    <w:rsid w:val="00057CC2"/>
    <w:rsid w:val="00060850"/>
    <w:rsid w:val="000609EE"/>
    <w:rsid w:val="0006183F"/>
    <w:rsid w:val="00061A88"/>
    <w:rsid w:val="000630C3"/>
    <w:rsid w:val="00063633"/>
    <w:rsid w:val="00063860"/>
    <w:rsid w:val="000651A8"/>
    <w:rsid w:val="00065435"/>
    <w:rsid w:val="000657C1"/>
    <w:rsid w:val="00065EEC"/>
    <w:rsid w:val="000661E4"/>
    <w:rsid w:val="0006680E"/>
    <w:rsid w:val="0006687F"/>
    <w:rsid w:val="00067A37"/>
    <w:rsid w:val="00067ADA"/>
    <w:rsid w:val="00072541"/>
    <w:rsid w:val="00073E38"/>
    <w:rsid w:val="00075299"/>
    <w:rsid w:val="00075491"/>
    <w:rsid w:val="00075531"/>
    <w:rsid w:val="00075BBD"/>
    <w:rsid w:val="00075BBE"/>
    <w:rsid w:val="00077783"/>
    <w:rsid w:val="000806AF"/>
    <w:rsid w:val="00081596"/>
    <w:rsid w:val="000819ED"/>
    <w:rsid w:val="00081E24"/>
    <w:rsid w:val="00081E69"/>
    <w:rsid w:val="0008312E"/>
    <w:rsid w:val="000841DE"/>
    <w:rsid w:val="000845E8"/>
    <w:rsid w:val="0008472D"/>
    <w:rsid w:val="000847DE"/>
    <w:rsid w:val="000850A0"/>
    <w:rsid w:val="0008556A"/>
    <w:rsid w:val="00085708"/>
    <w:rsid w:val="00085801"/>
    <w:rsid w:val="00085B94"/>
    <w:rsid w:val="00085C95"/>
    <w:rsid w:val="000867FC"/>
    <w:rsid w:val="00087D03"/>
    <w:rsid w:val="00087DBD"/>
    <w:rsid w:val="00090303"/>
    <w:rsid w:val="00090B04"/>
    <w:rsid w:val="00091388"/>
    <w:rsid w:val="000914A4"/>
    <w:rsid w:val="00091936"/>
    <w:rsid w:val="00092226"/>
    <w:rsid w:val="00092E65"/>
    <w:rsid w:val="0009349E"/>
    <w:rsid w:val="000936CB"/>
    <w:rsid w:val="00094C4A"/>
    <w:rsid w:val="0009614A"/>
    <w:rsid w:val="00097AEA"/>
    <w:rsid w:val="000A0058"/>
    <w:rsid w:val="000A0391"/>
    <w:rsid w:val="000A1325"/>
    <w:rsid w:val="000A156F"/>
    <w:rsid w:val="000A2816"/>
    <w:rsid w:val="000A37D4"/>
    <w:rsid w:val="000A39CA"/>
    <w:rsid w:val="000A3BBA"/>
    <w:rsid w:val="000A3F4C"/>
    <w:rsid w:val="000A459C"/>
    <w:rsid w:val="000A462B"/>
    <w:rsid w:val="000A5025"/>
    <w:rsid w:val="000A6946"/>
    <w:rsid w:val="000A73B8"/>
    <w:rsid w:val="000B0043"/>
    <w:rsid w:val="000B0C9D"/>
    <w:rsid w:val="000B0E06"/>
    <w:rsid w:val="000B154C"/>
    <w:rsid w:val="000B1F79"/>
    <w:rsid w:val="000B1F95"/>
    <w:rsid w:val="000B200E"/>
    <w:rsid w:val="000B25D7"/>
    <w:rsid w:val="000B26C8"/>
    <w:rsid w:val="000B4DEF"/>
    <w:rsid w:val="000B5001"/>
    <w:rsid w:val="000B520A"/>
    <w:rsid w:val="000B549B"/>
    <w:rsid w:val="000B54F9"/>
    <w:rsid w:val="000B57CC"/>
    <w:rsid w:val="000B69D7"/>
    <w:rsid w:val="000B72F7"/>
    <w:rsid w:val="000B73CA"/>
    <w:rsid w:val="000C0F43"/>
    <w:rsid w:val="000C31CD"/>
    <w:rsid w:val="000C3616"/>
    <w:rsid w:val="000C4128"/>
    <w:rsid w:val="000C56B9"/>
    <w:rsid w:val="000C570A"/>
    <w:rsid w:val="000C68C1"/>
    <w:rsid w:val="000C73E9"/>
    <w:rsid w:val="000C7697"/>
    <w:rsid w:val="000C78E2"/>
    <w:rsid w:val="000D03AA"/>
    <w:rsid w:val="000D05A1"/>
    <w:rsid w:val="000D1106"/>
    <w:rsid w:val="000D12D8"/>
    <w:rsid w:val="000D1C44"/>
    <w:rsid w:val="000D2544"/>
    <w:rsid w:val="000D2863"/>
    <w:rsid w:val="000D2FE3"/>
    <w:rsid w:val="000D30CE"/>
    <w:rsid w:val="000D33C1"/>
    <w:rsid w:val="000D39B5"/>
    <w:rsid w:val="000D4043"/>
    <w:rsid w:val="000D4383"/>
    <w:rsid w:val="000D4984"/>
    <w:rsid w:val="000D53BF"/>
    <w:rsid w:val="000D5407"/>
    <w:rsid w:val="000D5961"/>
    <w:rsid w:val="000D5D4E"/>
    <w:rsid w:val="000D5D60"/>
    <w:rsid w:val="000D5F9C"/>
    <w:rsid w:val="000D7310"/>
    <w:rsid w:val="000D7689"/>
    <w:rsid w:val="000E1180"/>
    <w:rsid w:val="000E15C6"/>
    <w:rsid w:val="000E1609"/>
    <w:rsid w:val="000E1C35"/>
    <w:rsid w:val="000E1E40"/>
    <w:rsid w:val="000E205B"/>
    <w:rsid w:val="000E310D"/>
    <w:rsid w:val="000E431C"/>
    <w:rsid w:val="000E466E"/>
    <w:rsid w:val="000E5134"/>
    <w:rsid w:val="000E52F4"/>
    <w:rsid w:val="000E59EF"/>
    <w:rsid w:val="000E70E1"/>
    <w:rsid w:val="000F02BB"/>
    <w:rsid w:val="000F0AFD"/>
    <w:rsid w:val="000F0D1A"/>
    <w:rsid w:val="000F0E50"/>
    <w:rsid w:val="000F2624"/>
    <w:rsid w:val="000F29EB"/>
    <w:rsid w:val="000F2E1C"/>
    <w:rsid w:val="000F312D"/>
    <w:rsid w:val="000F33E1"/>
    <w:rsid w:val="000F3740"/>
    <w:rsid w:val="000F37CC"/>
    <w:rsid w:val="000F387E"/>
    <w:rsid w:val="000F38CD"/>
    <w:rsid w:val="000F3FE9"/>
    <w:rsid w:val="000F41E9"/>
    <w:rsid w:val="000F46B3"/>
    <w:rsid w:val="000F47F2"/>
    <w:rsid w:val="000F4A1A"/>
    <w:rsid w:val="000F4D00"/>
    <w:rsid w:val="000F4D28"/>
    <w:rsid w:val="000F5FC5"/>
    <w:rsid w:val="000F6199"/>
    <w:rsid w:val="000F61AE"/>
    <w:rsid w:val="000F61F3"/>
    <w:rsid w:val="000F66A6"/>
    <w:rsid w:val="001007D8"/>
    <w:rsid w:val="00101882"/>
    <w:rsid w:val="00101F97"/>
    <w:rsid w:val="00102919"/>
    <w:rsid w:val="00102EF0"/>
    <w:rsid w:val="001039F8"/>
    <w:rsid w:val="00103B02"/>
    <w:rsid w:val="00103CCB"/>
    <w:rsid w:val="00104064"/>
    <w:rsid w:val="00104879"/>
    <w:rsid w:val="00104CF7"/>
    <w:rsid w:val="0010539D"/>
    <w:rsid w:val="0010575F"/>
    <w:rsid w:val="001059BE"/>
    <w:rsid w:val="00105FD8"/>
    <w:rsid w:val="00106128"/>
    <w:rsid w:val="001062E8"/>
    <w:rsid w:val="00106B2A"/>
    <w:rsid w:val="0011068E"/>
    <w:rsid w:val="001108F4"/>
    <w:rsid w:val="00110F1A"/>
    <w:rsid w:val="00111012"/>
    <w:rsid w:val="0011130C"/>
    <w:rsid w:val="0011142B"/>
    <w:rsid w:val="00111770"/>
    <w:rsid w:val="00111B98"/>
    <w:rsid w:val="00111C4F"/>
    <w:rsid w:val="001122FE"/>
    <w:rsid w:val="001124CB"/>
    <w:rsid w:val="00113592"/>
    <w:rsid w:val="00114001"/>
    <w:rsid w:val="00114E62"/>
    <w:rsid w:val="00114E72"/>
    <w:rsid w:val="00115BB9"/>
    <w:rsid w:val="00116134"/>
    <w:rsid w:val="0011662D"/>
    <w:rsid w:val="00116988"/>
    <w:rsid w:val="001202B8"/>
    <w:rsid w:val="001203AC"/>
    <w:rsid w:val="00120730"/>
    <w:rsid w:val="00120ABE"/>
    <w:rsid w:val="00120AF4"/>
    <w:rsid w:val="00121023"/>
    <w:rsid w:val="00121A74"/>
    <w:rsid w:val="0012281D"/>
    <w:rsid w:val="00122F82"/>
    <w:rsid w:val="0012373A"/>
    <w:rsid w:val="00124A54"/>
    <w:rsid w:val="00124FFE"/>
    <w:rsid w:val="00125080"/>
    <w:rsid w:val="00125261"/>
    <w:rsid w:val="0012555A"/>
    <w:rsid w:val="0012685F"/>
    <w:rsid w:val="00130181"/>
    <w:rsid w:val="001303F1"/>
    <w:rsid w:val="0013050F"/>
    <w:rsid w:val="00130CA6"/>
    <w:rsid w:val="001315FE"/>
    <w:rsid w:val="0013182D"/>
    <w:rsid w:val="00132A80"/>
    <w:rsid w:val="00132C3F"/>
    <w:rsid w:val="00133DD3"/>
    <w:rsid w:val="00134DAF"/>
    <w:rsid w:val="00135002"/>
    <w:rsid w:val="00135191"/>
    <w:rsid w:val="00135D78"/>
    <w:rsid w:val="00135DB3"/>
    <w:rsid w:val="00136186"/>
    <w:rsid w:val="0013629B"/>
    <w:rsid w:val="00136B2F"/>
    <w:rsid w:val="0013787B"/>
    <w:rsid w:val="00140398"/>
    <w:rsid w:val="0014115B"/>
    <w:rsid w:val="00141D89"/>
    <w:rsid w:val="00142028"/>
    <w:rsid w:val="001422BB"/>
    <w:rsid w:val="00142370"/>
    <w:rsid w:val="00143E61"/>
    <w:rsid w:val="00144033"/>
    <w:rsid w:val="0014424E"/>
    <w:rsid w:val="00145E0E"/>
    <w:rsid w:val="00145F92"/>
    <w:rsid w:val="00145FBC"/>
    <w:rsid w:val="0014600E"/>
    <w:rsid w:val="00146772"/>
    <w:rsid w:val="00147760"/>
    <w:rsid w:val="00147EAB"/>
    <w:rsid w:val="00147F26"/>
    <w:rsid w:val="001503F8"/>
    <w:rsid w:val="0015066B"/>
    <w:rsid w:val="00150B9F"/>
    <w:rsid w:val="00150CD0"/>
    <w:rsid w:val="00150DB6"/>
    <w:rsid w:val="00152831"/>
    <w:rsid w:val="00152ECE"/>
    <w:rsid w:val="00153518"/>
    <w:rsid w:val="001547E7"/>
    <w:rsid w:val="00155872"/>
    <w:rsid w:val="00155B36"/>
    <w:rsid w:val="00155F8F"/>
    <w:rsid w:val="00156E3E"/>
    <w:rsid w:val="001571D5"/>
    <w:rsid w:val="0015791F"/>
    <w:rsid w:val="00160208"/>
    <w:rsid w:val="001609BA"/>
    <w:rsid w:val="00160C30"/>
    <w:rsid w:val="001614DF"/>
    <w:rsid w:val="00161D45"/>
    <w:rsid w:val="001630E5"/>
    <w:rsid w:val="0016312E"/>
    <w:rsid w:val="00163681"/>
    <w:rsid w:val="00163E36"/>
    <w:rsid w:val="00164CDA"/>
    <w:rsid w:val="00164FB1"/>
    <w:rsid w:val="00165770"/>
    <w:rsid w:val="00165BF4"/>
    <w:rsid w:val="0016650F"/>
    <w:rsid w:val="00170951"/>
    <w:rsid w:val="00170C4C"/>
    <w:rsid w:val="00170CC0"/>
    <w:rsid w:val="00170ECF"/>
    <w:rsid w:val="00171F0D"/>
    <w:rsid w:val="00173559"/>
    <w:rsid w:val="00174576"/>
    <w:rsid w:val="00174A28"/>
    <w:rsid w:val="00175361"/>
    <w:rsid w:val="0017570C"/>
    <w:rsid w:val="00175A51"/>
    <w:rsid w:val="00176D72"/>
    <w:rsid w:val="00177879"/>
    <w:rsid w:val="00177EC8"/>
    <w:rsid w:val="00177FCA"/>
    <w:rsid w:val="0018034F"/>
    <w:rsid w:val="00180C28"/>
    <w:rsid w:val="00180EBB"/>
    <w:rsid w:val="00182201"/>
    <w:rsid w:val="00183EE0"/>
    <w:rsid w:val="00184247"/>
    <w:rsid w:val="00185BD9"/>
    <w:rsid w:val="00186AF1"/>
    <w:rsid w:val="00187051"/>
    <w:rsid w:val="0018762B"/>
    <w:rsid w:val="00187724"/>
    <w:rsid w:val="00190658"/>
    <w:rsid w:val="001908B1"/>
    <w:rsid w:val="0019105A"/>
    <w:rsid w:val="00191793"/>
    <w:rsid w:val="001921B6"/>
    <w:rsid w:val="00192770"/>
    <w:rsid w:val="00192A76"/>
    <w:rsid w:val="0019333C"/>
    <w:rsid w:val="001944DA"/>
    <w:rsid w:val="001956AF"/>
    <w:rsid w:val="001959A6"/>
    <w:rsid w:val="00196F77"/>
    <w:rsid w:val="00197009"/>
    <w:rsid w:val="00197ABE"/>
    <w:rsid w:val="001A01B9"/>
    <w:rsid w:val="001A0921"/>
    <w:rsid w:val="001A0DA9"/>
    <w:rsid w:val="001A1B55"/>
    <w:rsid w:val="001A20CA"/>
    <w:rsid w:val="001A2359"/>
    <w:rsid w:val="001A2FA9"/>
    <w:rsid w:val="001A38AD"/>
    <w:rsid w:val="001A4187"/>
    <w:rsid w:val="001A44AA"/>
    <w:rsid w:val="001A48AE"/>
    <w:rsid w:val="001A50A1"/>
    <w:rsid w:val="001A54ED"/>
    <w:rsid w:val="001A609B"/>
    <w:rsid w:val="001A68C4"/>
    <w:rsid w:val="001A70C4"/>
    <w:rsid w:val="001A77F2"/>
    <w:rsid w:val="001A7E20"/>
    <w:rsid w:val="001B09C8"/>
    <w:rsid w:val="001B09EA"/>
    <w:rsid w:val="001B2A91"/>
    <w:rsid w:val="001B39AD"/>
    <w:rsid w:val="001B3A0F"/>
    <w:rsid w:val="001B512B"/>
    <w:rsid w:val="001B5330"/>
    <w:rsid w:val="001B5AF7"/>
    <w:rsid w:val="001B658B"/>
    <w:rsid w:val="001B66A8"/>
    <w:rsid w:val="001B6829"/>
    <w:rsid w:val="001B70A1"/>
    <w:rsid w:val="001B72D6"/>
    <w:rsid w:val="001C1390"/>
    <w:rsid w:val="001C1A19"/>
    <w:rsid w:val="001C281B"/>
    <w:rsid w:val="001C37B6"/>
    <w:rsid w:val="001C4CCE"/>
    <w:rsid w:val="001C5BA6"/>
    <w:rsid w:val="001C5D75"/>
    <w:rsid w:val="001C6268"/>
    <w:rsid w:val="001C6DCE"/>
    <w:rsid w:val="001C78D4"/>
    <w:rsid w:val="001D02F9"/>
    <w:rsid w:val="001D0B29"/>
    <w:rsid w:val="001D0C0D"/>
    <w:rsid w:val="001D219B"/>
    <w:rsid w:val="001D2222"/>
    <w:rsid w:val="001D256B"/>
    <w:rsid w:val="001D2580"/>
    <w:rsid w:val="001D2A7C"/>
    <w:rsid w:val="001D31B2"/>
    <w:rsid w:val="001D32BF"/>
    <w:rsid w:val="001D3596"/>
    <w:rsid w:val="001D3E2A"/>
    <w:rsid w:val="001D3FFE"/>
    <w:rsid w:val="001D4450"/>
    <w:rsid w:val="001D4957"/>
    <w:rsid w:val="001D4FA5"/>
    <w:rsid w:val="001D5013"/>
    <w:rsid w:val="001D5B7D"/>
    <w:rsid w:val="001D5DF0"/>
    <w:rsid w:val="001D6470"/>
    <w:rsid w:val="001D65BB"/>
    <w:rsid w:val="001D70A1"/>
    <w:rsid w:val="001D7DD1"/>
    <w:rsid w:val="001E07EB"/>
    <w:rsid w:val="001E0AED"/>
    <w:rsid w:val="001E0F82"/>
    <w:rsid w:val="001E1647"/>
    <w:rsid w:val="001E1768"/>
    <w:rsid w:val="001E20E7"/>
    <w:rsid w:val="001E2722"/>
    <w:rsid w:val="001E30FF"/>
    <w:rsid w:val="001E3197"/>
    <w:rsid w:val="001E4653"/>
    <w:rsid w:val="001E46A8"/>
    <w:rsid w:val="001E5674"/>
    <w:rsid w:val="001E57E3"/>
    <w:rsid w:val="001E6106"/>
    <w:rsid w:val="001E6214"/>
    <w:rsid w:val="001E62DF"/>
    <w:rsid w:val="001E64D6"/>
    <w:rsid w:val="001E6F12"/>
    <w:rsid w:val="001F0514"/>
    <w:rsid w:val="001F0B39"/>
    <w:rsid w:val="001F16EA"/>
    <w:rsid w:val="001F1747"/>
    <w:rsid w:val="001F1AA4"/>
    <w:rsid w:val="001F1AAC"/>
    <w:rsid w:val="001F2BCB"/>
    <w:rsid w:val="001F2EC7"/>
    <w:rsid w:val="001F2F91"/>
    <w:rsid w:val="001F317F"/>
    <w:rsid w:val="001F3A7B"/>
    <w:rsid w:val="001F3B41"/>
    <w:rsid w:val="001F483B"/>
    <w:rsid w:val="001F4C12"/>
    <w:rsid w:val="001F5119"/>
    <w:rsid w:val="001F60AB"/>
    <w:rsid w:val="001F6BC6"/>
    <w:rsid w:val="001F6EB9"/>
    <w:rsid w:val="001F72F9"/>
    <w:rsid w:val="001F7584"/>
    <w:rsid w:val="001F75E9"/>
    <w:rsid w:val="001F760A"/>
    <w:rsid w:val="001F7A35"/>
    <w:rsid w:val="001F7F17"/>
    <w:rsid w:val="002000F3"/>
    <w:rsid w:val="00200646"/>
    <w:rsid w:val="002006A2"/>
    <w:rsid w:val="00200748"/>
    <w:rsid w:val="00201394"/>
    <w:rsid w:val="00202362"/>
    <w:rsid w:val="00202DF6"/>
    <w:rsid w:val="002031FD"/>
    <w:rsid w:val="0020348D"/>
    <w:rsid w:val="00203B63"/>
    <w:rsid w:val="002043AF"/>
    <w:rsid w:val="00204624"/>
    <w:rsid w:val="00204B88"/>
    <w:rsid w:val="00204F01"/>
    <w:rsid w:val="00205188"/>
    <w:rsid w:val="002058BF"/>
    <w:rsid w:val="00205A08"/>
    <w:rsid w:val="00206709"/>
    <w:rsid w:val="00206CBA"/>
    <w:rsid w:val="0020753F"/>
    <w:rsid w:val="00211F58"/>
    <w:rsid w:val="0021229F"/>
    <w:rsid w:val="00212479"/>
    <w:rsid w:val="002126C8"/>
    <w:rsid w:val="00213F28"/>
    <w:rsid w:val="00214770"/>
    <w:rsid w:val="00215091"/>
    <w:rsid w:val="0021568F"/>
    <w:rsid w:val="00215D11"/>
    <w:rsid w:val="002163DE"/>
    <w:rsid w:val="00216673"/>
    <w:rsid w:val="002174F1"/>
    <w:rsid w:val="00217BB1"/>
    <w:rsid w:val="00220289"/>
    <w:rsid w:val="002211D7"/>
    <w:rsid w:val="002218DA"/>
    <w:rsid w:val="002231AD"/>
    <w:rsid w:val="00224851"/>
    <w:rsid w:val="00225D7B"/>
    <w:rsid w:val="00226210"/>
    <w:rsid w:val="0022652C"/>
    <w:rsid w:val="002268C4"/>
    <w:rsid w:val="00226E2F"/>
    <w:rsid w:val="00226FF5"/>
    <w:rsid w:val="00227107"/>
    <w:rsid w:val="00227597"/>
    <w:rsid w:val="0022788F"/>
    <w:rsid w:val="002279C5"/>
    <w:rsid w:val="00227BCA"/>
    <w:rsid w:val="0023095E"/>
    <w:rsid w:val="00230D04"/>
    <w:rsid w:val="00230D0E"/>
    <w:rsid w:val="00232C93"/>
    <w:rsid w:val="00232E2A"/>
    <w:rsid w:val="002335B2"/>
    <w:rsid w:val="00233A46"/>
    <w:rsid w:val="00233C02"/>
    <w:rsid w:val="00235AF4"/>
    <w:rsid w:val="00235B51"/>
    <w:rsid w:val="002361FE"/>
    <w:rsid w:val="00236E85"/>
    <w:rsid w:val="00237092"/>
    <w:rsid w:val="00240D45"/>
    <w:rsid w:val="00240E38"/>
    <w:rsid w:val="002413D5"/>
    <w:rsid w:val="0024195B"/>
    <w:rsid w:val="0024285A"/>
    <w:rsid w:val="002432E8"/>
    <w:rsid w:val="0024487B"/>
    <w:rsid w:val="00244CE3"/>
    <w:rsid w:val="0024503D"/>
    <w:rsid w:val="00245515"/>
    <w:rsid w:val="00245C69"/>
    <w:rsid w:val="00246156"/>
    <w:rsid w:val="00246AE4"/>
    <w:rsid w:val="002470F1"/>
    <w:rsid w:val="00250E53"/>
    <w:rsid w:val="00250F28"/>
    <w:rsid w:val="00251335"/>
    <w:rsid w:val="00251EE3"/>
    <w:rsid w:val="00252D49"/>
    <w:rsid w:val="00254583"/>
    <w:rsid w:val="00254C7B"/>
    <w:rsid w:val="00255117"/>
    <w:rsid w:val="00255899"/>
    <w:rsid w:val="002561E2"/>
    <w:rsid w:val="00256277"/>
    <w:rsid w:val="00256DC5"/>
    <w:rsid w:val="0025717F"/>
    <w:rsid w:val="002572E1"/>
    <w:rsid w:val="00257819"/>
    <w:rsid w:val="00257A57"/>
    <w:rsid w:val="00257C19"/>
    <w:rsid w:val="00257CCE"/>
    <w:rsid w:val="00260D90"/>
    <w:rsid w:val="00260ED0"/>
    <w:rsid w:val="0026177E"/>
    <w:rsid w:val="00261ABB"/>
    <w:rsid w:val="00262630"/>
    <w:rsid w:val="00262F8E"/>
    <w:rsid w:val="002639BF"/>
    <w:rsid w:val="00263B87"/>
    <w:rsid w:val="00263C1C"/>
    <w:rsid w:val="002660D5"/>
    <w:rsid w:val="00266119"/>
    <w:rsid w:val="00266404"/>
    <w:rsid w:val="00266CD9"/>
    <w:rsid w:val="00266F73"/>
    <w:rsid w:val="0026733F"/>
    <w:rsid w:val="00267CDF"/>
    <w:rsid w:val="00270815"/>
    <w:rsid w:val="00270ABA"/>
    <w:rsid w:val="002725F1"/>
    <w:rsid w:val="00272A98"/>
    <w:rsid w:val="00272FFE"/>
    <w:rsid w:val="00274B90"/>
    <w:rsid w:val="00274E48"/>
    <w:rsid w:val="00274EDC"/>
    <w:rsid w:val="00276D09"/>
    <w:rsid w:val="0027716D"/>
    <w:rsid w:val="0027721F"/>
    <w:rsid w:val="00277619"/>
    <w:rsid w:val="00277A9C"/>
    <w:rsid w:val="00277BC0"/>
    <w:rsid w:val="00280440"/>
    <w:rsid w:val="0028202B"/>
    <w:rsid w:val="00282F19"/>
    <w:rsid w:val="002832D8"/>
    <w:rsid w:val="00283A1A"/>
    <w:rsid w:val="00283A5B"/>
    <w:rsid w:val="00284509"/>
    <w:rsid w:val="00285B66"/>
    <w:rsid w:val="00286E18"/>
    <w:rsid w:val="002872CA"/>
    <w:rsid w:val="00287406"/>
    <w:rsid w:val="00287D92"/>
    <w:rsid w:val="002903DB"/>
    <w:rsid w:val="002908C7"/>
    <w:rsid w:val="00290E4C"/>
    <w:rsid w:val="00291644"/>
    <w:rsid w:val="00292846"/>
    <w:rsid w:val="00292995"/>
    <w:rsid w:val="00292D30"/>
    <w:rsid w:val="00293019"/>
    <w:rsid w:val="002940E7"/>
    <w:rsid w:val="0029436B"/>
    <w:rsid w:val="002959AA"/>
    <w:rsid w:val="00296A73"/>
    <w:rsid w:val="00297324"/>
    <w:rsid w:val="002A004A"/>
    <w:rsid w:val="002A0548"/>
    <w:rsid w:val="002A05E1"/>
    <w:rsid w:val="002A0842"/>
    <w:rsid w:val="002A1350"/>
    <w:rsid w:val="002A13F8"/>
    <w:rsid w:val="002A1704"/>
    <w:rsid w:val="002A2287"/>
    <w:rsid w:val="002A22DA"/>
    <w:rsid w:val="002A2C57"/>
    <w:rsid w:val="002A303C"/>
    <w:rsid w:val="002A3D76"/>
    <w:rsid w:val="002A473A"/>
    <w:rsid w:val="002A50F8"/>
    <w:rsid w:val="002A562B"/>
    <w:rsid w:val="002A61D9"/>
    <w:rsid w:val="002A784A"/>
    <w:rsid w:val="002B0601"/>
    <w:rsid w:val="002B072E"/>
    <w:rsid w:val="002B094B"/>
    <w:rsid w:val="002B0B2A"/>
    <w:rsid w:val="002B1142"/>
    <w:rsid w:val="002B16DD"/>
    <w:rsid w:val="002B22E4"/>
    <w:rsid w:val="002B2480"/>
    <w:rsid w:val="002B2AA1"/>
    <w:rsid w:val="002B3006"/>
    <w:rsid w:val="002B42D6"/>
    <w:rsid w:val="002B481F"/>
    <w:rsid w:val="002B52DE"/>
    <w:rsid w:val="002B547A"/>
    <w:rsid w:val="002B6958"/>
    <w:rsid w:val="002B6A07"/>
    <w:rsid w:val="002B78AE"/>
    <w:rsid w:val="002B78CA"/>
    <w:rsid w:val="002B7C54"/>
    <w:rsid w:val="002C0C72"/>
    <w:rsid w:val="002C1BD5"/>
    <w:rsid w:val="002C205E"/>
    <w:rsid w:val="002C3596"/>
    <w:rsid w:val="002C3EFD"/>
    <w:rsid w:val="002C400B"/>
    <w:rsid w:val="002C4031"/>
    <w:rsid w:val="002C4663"/>
    <w:rsid w:val="002C5030"/>
    <w:rsid w:val="002C506B"/>
    <w:rsid w:val="002C58D1"/>
    <w:rsid w:val="002C59FA"/>
    <w:rsid w:val="002C690B"/>
    <w:rsid w:val="002C6B07"/>
    <w:rsid w:val="002C777B"/>
    <w:rsid w:val="002C7ABC"/>
    <w:rsid w:val="002C7EFA"/>
    <w:rsid w:val="002D0179"/>
    <w:rsid w:val="002D0209"/>
    <w:rsid w:val="002D079F"/>
    <w:rsid w:val="002D0957"/>
    <w:rsid w:val="002D0EA9"/>
    <w:rsid w:val="002D11A8"/>
    <w:rsid w:val="002D16D8"/>
    <w:rsid w:val="002D1B6A"/>
    <w:rsid w:val="002D1E25"/>
    <w:rsid w:val="002D1F95"/>
    <w:rsid w:val="002D28F7"/>
    <w:rsid w:val="002D29BF"/>
    <w:rsid w:val="002D2E52"/>
    <w:rsid w:val="002D342F"/>
    <w:rsid w:val="002D3762"/>
    <w:rsid w:val="002D3DCE"/>
    <w:rsid w:val="002D4A1C"/>
    <w:rsid w:val="002D4B3B"/>
    <w:rsid w:val="002D6EA8"/>
    <w:rsid w:val="002D6EF9"/>
    <w:rsid w:val="002D75B6"/>
    <w:rsid w:val="002D77C3"/>
    <w:rsid w:val="002D77EC"/>
    <w:rsid w:val="002D7810"/>
    <w:rsid w:val="002D7AB7"/>
    <w:rsid w:val="002E0757"/>
    <w:rsid w:val="002E0846"/>
    <w:rsid w:val="002E0D87"/>
    <w:rsid w:val="002E0F10"/>
    <w:rsid w:val="002E18B0"/>
    <w:rsid w:val="002E1988"/>
    <w:rsid w:val="002E1F8E"/>
    <w:rsid w:val="002E1FA5"/>
    <w:rsid w:val="002E248F"/>
    <w:rsid w:val="002E2F90"/>
    <w:rsid w:val="002E3AC9"/>
    <w:rsid w:val="002E3B1D"/>
    <w:rsid w:val="002E4548"/>
    <w:rsid w:val="002E661F"/>
    <w:rsid w:val="002E686A"/>
    <w:rsid w:val="002E6B35"/>
    <w:rsid w:val="002E6CF5"/>
    <w:rsid w:val="002E6EB9"/>
    <w:rsid w:val="002E738B"/>
    <w:rsid w:val="002E75F7"/>
    <w:rsid w:val="002E7B75"/>
    <w:rsid w:val="002F05E9"/>
    <w:rsid w:val="002F0692"/>
    <w:rsid w:val="002F0E7E"/>
    <w:rsid w:val="002F11D2"/>
    <w:rsid w:val="002F1517"/>
    <w:rsid w:val="002F1B3F"/>
    <w:rsid w:val="002F291F"/>
    <w:rsid w:val="002F3E75"/>
    <w:rsid w:val="002F3F93"/>
    <w:rsid w:val="002F4334"/>
    <w:rsid w:val="002F4A32"/>
    <w:rsid w:val="002F4A49"/>
    <w:rsid w:val="002F4A93"/>
    <w:rsid w:val="002F4FD8"/>
    <w:rsid w:val="002F5E82"/>
    <w:rsid w:val="002F606C"/>
    <w:rsid w:val="002F737B"/>
    <w:rsid w:val="002F7890"/>
    <w:rsid w:val="002F7F48"/>
    <w:rsid w:val="00300097"/>
    <w:rsid w:val="00300529"/>
    <w:rsid w:val="00300D14"/>
    <w:rsid w:val="00301661"/>
    <w:rsid w:val="00301DBC"/>
    <w:rsid w:val="00302AFD"/>
    <w:rsid w:val="00302C78"/>
    <w:rsid w:val="00303456"/>
    <w:rsid w:val="00303948"/>
    <w:rsid w:val="00303BC1"/>
    <w:rsid w:val="00304481"/>
    <w:rsid w:val="00304705"/>
    <w:rsid w:val="0030476A"/>
    <w:rsid w:val="003051BE"/>
    <w:rsid w:val="0030638F"/>
    <w:rsid w:val="003066B6"/>
    <w:rsid w:val="003069E8"/>
    <w:rsid w:val="00306D14"/>
    <w:rsid w:val="00307B00"/>
    <w:rsid w:val="00310014"/>
    <w:rsid w:val="00310AB6"/>
    <w:rsid w:val="00310CDE"/>
    <w:rsid w:val="00310D28"/>
    <w:rsid w:val="0031154D"/>
    <w:rsid w:val="003115AA"/>
    <w:rsid w:val="00312302"/>
    <w:rsid w:val="0031274C"/>
    <w:rsid w:val="003128AF"/>
    <w:rsid w:val="003132EF"/>
    <w:rsid w:val="003132FF"/>
    <w:rsid w:val="00313925"/>
    <w:rsid w:val="00315114"/>
    <w:rsid w:val="003151AD"/>
    <w:rsid w:val="0031559C"/>
    <w:rsid w:val="00317C0A"/>
    <w:rsid w:val="00320044"/>
    <w:rsid w:val="00320C01"/>
    <w:rsid w:val="00320F4A"/>
    <w:rsid w:val="003212C6"/>
    <w:rsid w:val="003226E4"/>
    <w:rsid w:val="00322894"/>
    <w:rsid w:val="0032341A"/>
    <w:rsid w:val="003241B8"/>
    <w:rsid w:val="00324B2E"/>
    <w:rsid w:val="00324CF5"/>
    <w:rsid w:val="00324D11"/>
    <w:rsid w:val="00326A9B"/>
    <w:rsid w:val="003278E8"/>
    <w:rsid w:val="00327A2B"/>
    <w:rsid w:val="003318D4"/>
    <w:rsid w:val="00332096"/>
    <w:rsid w:val="00332CFC"/>
    <w:rsid w:val="00332D8D"/>
    <w:rsid w:val="00332F06"/>
    <w:rsid w:val="0033356B"/>
    <w:rsid w:val="00333928"/>
    <w:rsid w:val="00333AEB"/>
    <w:rsid w:val="00333C08"/>
    <w:rsid w:val="00333E16"/>
    <w:rsid w:val="003344F0"/>
    <w:rsid w:val="00335A37"/>
    <w:rsid w:val="00335AFE"/>
    <w:rsid w:val="0033616B"/>
    <w:rsid w:val="00337843"/>
    <w:rsid w:val="003379A9"/>
    <w:rsid w:val="003401F3"/>
    <w:rsid w:val="00342096"/>
    <w:rsid w:val="00342104"/>
    <w:rsid w:val="003423B0"/>
    <w:rsid w:val="00342B36"/>
    <w:rsid w:val="00344489"/>
    <w:rsid w:val="003451E9"/>
    <w:rsid w:val="0034712F"/>
    <w:rsid w:val="0034762E"/>
    <w:rsid w:val="003477A0"/>
    <w:rsid w:val="00350284"/>
    <w:rsid w:val="003502B2"/>
    <w:rsid w:val="0035043B"/>
    <w:rsid w:val="0035058D"/>
    <w:rsid w:val="0035093E"/>
    <w:rsid w:val="00351030"/>
    <w:rsid w:val="003519D2"/>
    <w:rsid w:val="00352182"/>
    <w:rsid w:val="003523E5"/>
    <w:rsid w:val="00352C85"/>
    <w:rsid w:val="00352E84"/>
    <w:rsid w:val="00353834"/>
    <w:rsid w:val="003543A1"/>
    <w:rsid w:val="00354537"/>
    <w:rsid w:val="00355C7E"/>
    <w:rsid w:val="00357671"/>
    <w:rsid w:val="003578E8"/>
    <w:rsid w:val="003579BB"/>
    <w:rsid w:val="00357D15"/>
    <w:rsid w:val="00357ECD"/>
    <w:rsid w:val="00360782"/>
    <w:rsid w:val="003620B0"/>
    <w:rsid w:val="0036225B"/>
    <w:rsid w:val="003628EE"/>
    <w:rsid w:val="0036312B"/>
    <w:rsid w:val="0036334E"/>
    <w:rsid w:val="003639C9"/>
    <w:rsid w:val="0036415C"/>
    <w:rsid w:val="0036430A"/>
    <w:rsid w:val="003643A2"/>
    <w:rsid w:val="00364BD9"/>
    <w:rsid w:val="00365929"/>
    <w:rsid w:val="00365FC8"/>
    <w:rsid w:val="00366BA9"/>
    <w:rsid w:val="00367BFE"/>
    <w:rsid w:val="00367C7A"/>
    <w:rsid w:val="00370FA2"/>
    <w:rsid w:val="00371DEC"/>
    <w:rsid w:val="0037296A"/>
    <w:rsid w:val="00372BF3"/>
    <w:rsid w:val="003731D1"/>
    <w:rsid w:val="00373B38"/>
    <w:rsid w:val="003744B8"/>
    <w:rsid w:val="00375285"/>
    <w:rsid w:val="00375488"/>
    <w:rsid w:val="003759A0"/>
    <w:rsid w:val="00376A18"/>
    <w:rsid w:val="00376F91"/>
    <w:rsid w:val="00377251"/>
    <w:rsid w:val="00377DD1"/>
    <w:rsid w:val="00380042"/>
    <w:rsid w:val="0038046D"/>
    <w:rsid w:val="00381078"/>
    <w:rsid w:val="00381A64"/>
    <w:rsid w:val="00381E41"/>
    <w:rsid w:val="00386261"/>
    <w:rsid w:val="00387194"/>
    <w:rsid w:val="00387D04"/>
    <w:rsid w:val="00390679"/>
    <w:rsid w:val="00390E02"/>
    <w:rsid w:val="00390E3E"/>
    <w:rsid w:val="003910A7"/>
    <w:rsid w:val="00391A6C"/>
    <w:rsid w:val="00392067"/>
    <w:rsid w:val="0039213C"/>
    <w:rsid w:val="00392717"/>
    <w:rsid w:val="00393610"/>
    <w:rsid w:val="00393C8C"/>
    <w:rsid w:val="0039452C"/>
    <w:rsid w:val="00394CAC"/>
    <w:rsid w:val="00394EBD"/>
    <w:rsid w:val="00394F79"/>
    <w:rsid w:val="00395C41"/>
    <w:rsid w:val="003965B3"/>
    <w:rsid w:val="00396689"/>
    <w:rsid w:val="00396760"/>
    <w:rsid w:val="00396E83"/>
    <w:rsid w:val="00397189"/>
    <w:rsid w:val="003973DC"/>
    <w:rsid w:val="003A1599"/>
    <w:rsid w:val="003A277B"/>
    <w:rsid w:val="003A2B1A"/>
    <w:rsid w:val="003A32AD"/>
    <w:rsid w:val="003A3519"/>
    <w:rsid w:val="003A4691"/>
    <w:rsid w:val="003A46FF"/>
    <w:rsid w:val="003A5727"/>
    <w:rsid w:val="003A5C32"/>
    <w:rsid w:val="003A6610"/>
    <w:rsid w:val="003A6EB5"/>
    <w:rsid w:val="003A6EC6"/>
    <w:rsid w:val="003A72FE"/>
    <w:rsid w:val="003A753D"/>
    <w:rsid w:val="003B0563"/>
    <w:rsid w:val="003B074D"/>
    <w:rsid w:val="003B08DB"/>
    <w:rsid w:val="003B0F2E"/>
    <w:rsid w:val="003B18A1"/>
    <w:rsid w:val="003B2281"/>
    <w:rsid w:val="003B340A"/>
    <w:rsid w:val="003B3438"/>
    <w:rsid w:val="003B3F73"/>
    <w:rsid w:val="003B4319"/>
    <w:rsid w:val="003B4321"/>
    <w:rsid w:val="003B535C"/>
    <w:rsid w:val="003B660E"/>
    <w:rsid w:val="003B6D92"/>
    <w:rsid w:val="003B7B6C"/>
    <w:rsid w:val="003C0376"/>
    <w:rsid w:val="003C091B"/>
    <w:rsid w:val="003C1535"/>
    <w:rsid w:val="003C15C2"/>
    <w:rsid w:val="003C169E"/>
    <w:rsid w:val="003C17DB"/>
    <w:rsid w:val="003C210B"/>
    <w:rsid w:val="003C2153"/>
    <w:rsid w:val="003C2B14"/>
    <w:rsid w:val="003C41B7"/>
    <w:rsid w:val="003C450A"/>
    <w:rsid w:val="003C505C"/>
    <w:rsid w:val="003C5333"/>
    <w:rsid w:val="003C5D5B"/>
    <w:rsid w:val="003C69C2"/>
    <w:rsid w:val="003C7372"/>
    <w:rsid w:val="003C7825"/>
    <w:rsid w:val="003C78A5"/>
    <w:rsid w:val="003D10D2"/>
    <w:rsid w:val="003D26D9"/>
    <w:rsid w:val="003D30B9"/>
    <w:rsid w:val="003D38B5"/>
    <w:rsid w:val="003D398F"/>
    <w:rsid w:val="003D40B1"/>
    <w:rsid w:val="003D41CC"/>
    <w:rsid w:val="003D4614"/>
    <w:rsid w:val="003D4713"/>
    <w:rsid w:val="003D48D3"/>
    <w:rsid w:val="003D4E41"/>
    <w:rsid w:val="003D59BC"/>
    <w:rsid w:val="003D5B2A"/>
    <w:rsid w:val="003D5FD4"/>
    <w:rsid w:val="003E063C"/>
    <w:rsid w:val="003E10A1"/>
    <w:rsid w:val="003E11C9"/>
    <w:rsid w:val="003E1574"/>
    <w:rsid w:val="003E1F50"/>
    <w:rsid w:val="003E2C1D"/>
    <w:rsid w:val="003E31DC"/>
    <w:rsid w:val="003E45B8"/>
    <w:rsid w:val="003E4C04"/>
    <w:rsid w:val="003E5966"/>
    <w:rsid w:val="003E5BBA"/>
    <w:rsid w:val="003E5E67"/>
    <w:rsid w:val="003E5F79"/>
    <w:rsid w:val="003E76E4"/>
    <w:rsid w:val="003F00E6"/>
    <w:rsid w:val="003F0135"/>
    <w:rsid w:val="003F0440"/>
    <w:rsid w:val="003F0AF2"/>
    <w:rsid w:val="003F193F"/>
    <w:rsid w:val="003F22F4"/>
    <w:rsid w:val="003F2AC3"/>
    <w:rsid w:val="003F36E2"/>
    <w:rsid w:val="003F42C0"/>
    <w:rsid w:val="003F4A0B"/>
    <w:rsid w:val="003F4B4D"/>
    <w:rsid w:val="003F5C4F"/>
    <w:rsid w:val="003F65E3"/>
    <w:rsid w:val="003F6B13"/>
    <w:rsid w:val="003F6E7A"/>
    <w:rsid w:val="003F7950"/>
    <w:rsid w:val="004009DC"/>
    <w:rsid w:val="00402146"/>
    <w:rsid w:val="00402558"/>
    <w:rsid w:val="00402927"/>
    <w:rsid w:val="00403E45"/>
    <w:rsid w:val="00403F59"/>
    <w:rsid w:val="00404BD3"/>
    <w:rsid w:val="00406A0F"/>
    <w:rsid w:val="00406ED0"/>
    <w:rsid w:val="004074EB"/>
    <w:rsid w:val="0040778B"/>
    <w:rsid w:val="00411134"/>
    <w:rsid w:val="00411958"/>
    <w:rsid w:val="00411F47"/>
    <w:rsid w:val="004139E8"/>
    <w:rsid w:val="00414334"/>
    <w:rsid w:val="004143CF"/>
    <w:rsid w:val="004145DF"/>
    <w:rsid w:val="004151B2"/>
    <w:rsid w:val="00415789"/>
    <w:rsid w:val="00415B69"/>
    <w:rsid w:val="00415BEA"/>
    <w:rsid w:val="00415D03"/>
    <w:rsid w:val="00416039"/>
    <w:rsid w:val="0041699F"/>
    <w:rsid w:val="00416CF5"/>
    <w:rsid w:val="00421A1C"/>
    <w:rsid w:val="00421D1D"/>
    <w:rsid w:val="00421E1B"/>
    <w:rsid w:val="004220B9"/>
    <w:rsid w:val="004220BC"/>
    <w:rsid w:val="00422307"/>
    <w:rsid w:val="00422BBC"/>
    <w:rsid w:val="00423F24"/>
    <w:rsid w:val="00424529"/>
    <w:rsid w:val="0042526F"/>
    <w:rsid w:val="00425AB7"/>
    <w:rsid w:val="00426581"/>
    <w:rsid w:val="00427CB4"/>
    <w:rsid w:val="00427D49"/>
    <w:rsid w:val="00427F43"/>
    <w:rsid w:val="00430326"/>
    <w:rsid w:val="0043080E"/>
    <w:rsid w:val="004309A9"/>
    <w:rsid w:val="00430B30"/>
    <w:rsid w:val="00431E11"/>
    <w:rsid w:val="00432359"/>
    <w:rsid w:val="004323C5"/>
    <w:rsid w:val="0043369B"/>
    <w:rsid w:val="0043385C"/>
    <w:rsid w:val="00433ABF"/>
    <w:rsid w:val="00434F7F"/>
    <w:rsid w:val="0043704A"/>
    <w:rsid w:val="00440189"/>
    <w:rsid w:val="004402F9"/>
    <w:rsid w:val="00440DDD"/>
    <w:rsid w:val="00441822"/>
    <w:rsid w:val="004418A2"/>
    <w:rsid w:val="00441932"/>
    <w:rsid w:val="00441FCE"/>
    <w:rsid w:val="00442005"/>
    <w:rsid w:val="00442179"/>
    <w:rsid w:val="00442DFD"/>
    <w:rsid w:val="00442FE8"/>
    <w:rsid w:val="004430BF"/>
    <w:rsid w:val="004435B4"/>
    <w:rsid w:val="00444361"/>
    <w:rsid w:val="00444785"/>
    <w:rsid w:val="00445C2B"/>
    <w:rsid w:val="0044600F"/>
    <w:rsid w:val="0044645D"/>
    <w:rsid w:val="00446E1C"/>
    <w:rsid w:val="00446F99"/>
    <w:rsid w:val="00446FCF"/>
    <w:rsid w:val="0044792E"/>
    <w:rsid w:val="0045153D"/>
    <w:rsid w:val="00452BA0"/>
    <w:rsid w:val="0045375E"/>
    <w:rsid w:val="004539DC"/>
    <w:rsid w:val="00453D4B"/>
    <w:rsid w:val="00454CBF"/>
    <w:rsid w:val="004550A9"/>
    <w:rsid w:val="00456196"/>
    <w:rsid w:val="004567BB"/>
    <w:rsid w:val="00457AB8"/>
    <w:rsid w:val="0046006A"/>
    <w:rsid w:val="00460706"/>
    <w:rsid w:val="00460D10"/>
    <w:rsid w:val="00460D71"/>
    <w:rsid w:val="004616E0"/>
    <w:rsid w:val="004618FD"/>
    <w:rsid w:val="00461A08"/>
    <w:rsid w:val="004626E3"/>
    <w:rsid w:val="00462701"/>
    <w:rsid w:val="004627C2"/>
    <w:rsid w:val="0046319A"/>
    <w:rsid w:val="0046344F"/>
    <w:rsid w:val="00463B05"/>
    <w:rsid w:val="00463B99"/>
    <w:rsid w:val="00463D77"/>
    <w:rsid w:val="00463FFE"/>
    <w:rsid w:val="00464177"/>
    <w:rsid w:val="004641EC"/>
    <w:rsid w:val="004643E5"/>
    <w:rsid w:val="00464903"/>
    <w:rsid w:val="004659FC"/>
    <w:rsid w:val="00465A2D"/>
    <w:rsid w:val="0046639C"/>
    <w:rsid w:val="0046668F"/>
    <w:rsid w:val="00470342"/>
    <w:rsid w:val="004705E3"/>
    <w:rsid w:val="004720DB"/>
    <w:rsid w:val="004722A2"/>
    <w:rsid w:val="0047235B"/>
    <w:rsid w:val="00472D5A"/>
    <w:rsid w:val="004732B4"/>
    <w:rsid w:val="0047486E"/>
    <w:rsid w:val="0047539B"/>
    <w:rsid w:val="004754DE"/>
    <w:rsid w:val="00475F53"/>
    <w:rsid w:val="00476567"/>
    <w:rsid w:val="004766FA"/>
    <w:rsid w:val="00477313"/>
    <w:rsid w:val="00481088"/>
    <w:rsid w:val="0048164B"/>
    <w:rsid w:val="004835E7"/>
    <w:rsid w:val="00484302"/>
    <w:rsid w:val="004859B5"/>
    <w:rsid w:val="00486030"/>
    <w:rsid w:val="004865D0"/>
    <w:rsid w:val="00486CAB"/>
    <w:rsid w:val="00486CBF"/>
    <w:rsid w:val="00486CEA"/>
    <w:rsid w:val="004871AA"/>
    <w:rsid w:val="00487351"/>
    <w:rsid w:val="00490DBF"/>
    <w:rsid w:val="00491555"/>
    <w:rsid w:val="00491602"/>
    <w:rsid w:val="00491E96"/>
    <w:rsid w:val="004925A2"/>
    <w:rsid w:val="00492CE1"/>
    <w:rsid w:val="00493377"/>
    <w:rsid w:val="004933F0"/>
    <w:rsid w:val="0049396C"/>
    <w:rsid w:val="00493AD1"/>
    <w:rsid w:val="0049534D"/>
    <w:rsid w:val="0049575C"/>
    <w:rsid w:val="004957E7"/>
    <w:rsid w:val="00495FE2"/>
    <w:rsid w:val="004961B1"/>
    <w:rsid w:val="004968BE"/>
    <w:rsid w:val="0049701A"/>
    <w:rsid w:val="00497268"/>
    <w:rsid w:val="004A0127"/>
    <w:rsid w:val="004A0504"/>
    <w:rsid w:val="004A1B71"/>
    <w:rsid w:val="004A2376"/>
    <w:rsid w:val="004A35C2"/>
    <w:rsid w:val="004A3A2D"/>
    <w:rsid w:val="004A4EAD"/>
    <w:rsid w:val="004A5356"/>
    <w:rsid w:val="004A5C27"/>
    <w:rsid w:val="004A62B5"/>
    <w:rsid w:val="004A70AF"/>
    <w:rsid w:val="004A787B"/>
    <w:rsid w:val="004A7953"/>
    <w:rsid w:val="004B0250"/>
    <w:rsid w:val="004B0826"/>
    <w:rsid w:val="004B08D1"/>
    <w:rsid w:val="004B11D7"/>
    <w:rsid w:val="004B1810"/>
    <w:rsid w:val="004B1BE0"/>
    <w:rsid w:val="004B2722"/>
    <w:rsid w:val="004B2891"/>
    <w:rsid w:val="004B2EC1"/>
    <w:rsid w:val="004B3158"/>
    <w:rsid w:val="004B3228"/>
    <w:rsid w:val="004B3285"/>
    <w:rsid w:val="004B5309"/>
    <w:rsid w:val="004B5F5F"/>
    <w:rsid w:val="004B6686"/>
    <w:rsid w:val="004B6BD2"/>
    <w:rsid w:val="004B6CA1"/>
    <w:rsid w:val="004B7429"/>
    <w:rsid w:val="004B7AB7"/>
    <w:rsid w:val="004C0255"/>
    <w:rsid w:val="004C088F"/>
    <w:rsid w:val="004C1093"/>
    <w:rsid w:val="004C1184"/>
    <w:rsid w:val="004C15B4"/>
    <w:rsid w:val="004C1728"/>
    <w:rsid w:val="004C1782"/>
    <w:rsid w:val="004C2176"/>
    <w:rsid w:val="004C2892"/>
    <w:rsid w:val="004C3DC5"/>
    <w:rsid w:val="004C4024"/>
    <w:rsid w:val="004C4BA6"/>
    <w:rsid w:val="004C646A"/>
    <w:rsid w:val="004C66EB"/>
    <w:rsid w:val="004C68AC"/>
    <w:rsid w:val="004C6F5A"/>
    <w:rsid w:val="004C70F0"/>
    <w:rsid w:val="004C7A03"/>
    <w:rsid w:val="004D0A05"/>
    <w:rsid w:val="004D122D"/>
    <w:rsid w:val="004D138A"/>
    <w:rsid w:val="004D15DC"/>
    <w:rsid w:val="004D18AD"/>
    <w:rsid w:val="004D1920"/>
    <w:rsid w:val="004D1CDF"/>
    <w:rsid w:val="004D1F3C"/>
    <w:rsid w:val="004D26BD"/>
    <w:rsid w:val="004D2AAF"/>
    <w:rsid w:val="004D2EC0"/>
    <w:rsid w:val="004D47E9"/>
    <w:rsid w:val="004D47FA"/>
    <w:rsid w:val="004D5E9E"/>
    <w:rsid w:val="004D72B2"/>
    <w:rsid w:val="004D7DC0"/>
    <w:rsid w:val="004E028A"/>
    <w:rsid w:val="004E06B3"/>
    <w:rsid w:val="004E1555"/>
    <w:rsid w:val="004E2382"/>
    <w:rsid w:val="004E31FE"/>
    <w:rsid w:val="004E3718"/>
    <w:rsid w:val="004E3C0D"/>
    <w:rsid w:val="004E40A2"/>
    <w:rsid w:val="004E434A"/>
    <w:rsid w:val="004E43F9"/>
    <w:rsid w:val="004E4AD5"/>
    <w:rsid w:val="004E4F05"/>
    <w:rsid w:val="004E4F41"/>
    <w:rsid w:val="004E55E2"/>
    <w:rsid w:val="004E5A6E"/>
    <w:rsid w:val="004E5EB5"/>
    <w:rsid w:val="004E5ECC"/>
    <w:rsid w:val="004E66E7"/>
    <w:rsid w:val="004E6E60"/>
    <w:rsid w:val="004E7004"/>
    <w:rsid w:val="004E72FB"/>
    <w:rsid w:val="004E757C"/>
    <w:rsid w:val="004E7967"/>
    <w:rsid w:val="004E7E7B"/>
    <w:rsid w:val="004F04C6"/>
    <w:rsid w:val="004F0AB5"/>
    <w:rsid w:val="004F13B5"/>
    <w:rsid w:val="004F155C"/>
    <w:rsid w:val="004F2699"/>
    <w:rsid w:val="004F27E5"/>
    <w:rsid w:val="004F2C89"/>
    <w:rsid w:val="004F2DD8"/>
    <w:rsid w:val="004F4669"/>
    <w:rsid w:val="004F4BBD"/>
    <w:rsid w:val="004F5EE4"/>
    <w:rsid w:val="004F6675"/>
    <w:rsid w:val="0050057D"/>
    <w:rsid w:val="00500D08"/>
    <w:rsid w:val="00502ED4"/>
    <w:rsid w:val="0050301F"/>
    <w:rsid w:val="005035FB"/>
    <w:rsid w:val="00503EC2"/>
    <w:rsid w:val="00503EC4"/>
    <w:rsid w:val="005041EC"/>
    <w:rsid w:val="005050DD"/>
    <w:rsid w:val="00505C08"/>
    <w:rsid w:val="00506458"/>
    <w:rsid w:val="00507E3A"/>
    <w:rsid w:val="00510DC6"/>
    <w:rsid w:val="00511843"/>
    <w:rsid w:val="00512BCE"/>
    <w:rsid w:val="00513432"/>
    <w:rsid w:val="0051418D"/>
    <w:rsid w:val="00514F11"/>
    <w:rsid w:val="0051510B"/>
    <w:rsid w:val="0051512F"/>
    <w:rsid w:val="00516327"/>
    <w:rsid w:val="0051679D"/>
    <w:rsid w:val="00517619"/>
    <w:rsid w:val="005206B0"/>
    <w:rsid w:val="00520BBD"/>
    <w:rsid w:val="00520C6A"/>
    <w:rsid w:val="005218F0"/>
    <w:rsid w:val="00522B7C"/>
    <w:rsid w:val="00522FBE"/>
    <w:rsid w:val="00523D8E"/>
    <w:rsid w:val="00524D4A"/>
    <w:rsid w:val="005251EF"/>
    <w:rsid w:val="005257C4"/>
    <w:rsid w:val="00525BEE"/>
    <w:rsid w:val="00525DCB"/>
    <w:rsid w:val="00525FD5"/>
    <w:rsid w:val="005264A9"/>
    <w:rsid w:val="0052650C"/>
    <w:rsid w:val="00526761"/>
    <w:rsid w:val="00527CC8"/>
    <w:rsid w:val="005308D2"/>
    <w:rsid w:val="005308F2"/>
    <w:rsid w:val="00530B53"/>
    <w:rsid w:val="005315A4"/>
    <w:rsid w:val="00532D14"/>
    <w:rsid w:val="00532F7D"/>
    <w:rsid w:val="00533624"/>
    <w:rsid w:val="0053384B"/>
    <w:rsid w:val="005339B0"/>
    <w:rsid w:val="00534B2A"/>
    <w:rsid w:val="00534D3F"/>
    <w:rsid w:val="005352A5"/>
    <w:rsid w:val="00535548"/>
    <w:rsid w:val="00535E36"/>
    <w:rsid w:val="005369D2"/>
    <w:rsid w:val="00536EB8"/>
    <w:rsid w:val="00537390"/>
    <w:rsid w:val="00537908"/>
    <w:rsid w:val="00537F80"/>
    <w:rsid w:val="00540524"/>
    <w:rsid w:val="00540779"/>
    <w:rsid w:val="00540FBC"/>
    <w:rsid w:val="00541AB4"/>
    <w:rsid w:val="00541B12"/>
    <w:rsid w:val="0054221A"/>
    <w:rsid w:val="00542C59"/>
    <w:rsid w:val="005434CA"/>
    <w:rsid w:val="005444CC"/>
    <w:rsid w:val="00544933"/>
    <w:rsid w:val="00544975"/>
    <w:rsid w:val="00544C91"/>
    <w:rsid w:val="00544C9E"/>
    <w:rsid w:val="00544FCF"/>
    <w:rsid w:val="00545793"/>
    <w:rsid w:val="0054613B"/>
    <w:rsid w:val="0054656A"/>
    <w:rsid w:val="00547A9F"/>
    <w:rsid w:val="00547BA8"/>
    <w:rsid w:val="00551777"/>
    <w:rsid w:val="005517E6"/>
    <w:rsid w:val="00551CB4"/>
    <w:rsid w:val="00552A04"/>
    <w:rsid w:val="0055322A"/>
    <w:rsid w:val="005532D1"/>
    <w:rsid w:val="00553F0F"/>
    <w:rsid w:val="00554A2E"/>
    <w:rsid w:val="00554B70"/>
    <w:rsid w:val="00554E25"/>
    <w:rsid w:val="0055512C"/>
    <w:rsid w:val="00555498"/>
    <w:rsid w:val="005554C3"/>
    <w:rsid w:val="00555813"/>
    <w:rsid w:val="00556D3B"/>
    <w:rsid w:val="00556F8C"/>
    <w:rsid w:val="00557030"/>
    <w:rsid w:val="0055740C"/>
    <w:rsid w:val="0055774E"/>
    <w:rsid w:val="00557D57"/>
    <w:rsid w:val="00560E69"/>
    <w:rsid w:val="00561DE1"/>
    <w:rsid w:val="00562490"/>
    <w:rsid w:val="005629FF"/>
    <w:rsid w:val="00562A0A"/>
    <w:rsid w:val="00562D33"/>
    <w:rsid w:val="00562EC4"/>
    <w:rsid w:val="00563426"/>
    <w:rsid w:val="0056456B"/>
    <w:rsid w:val="00564864"/>
    <w:rsid w:val="005650B5"/>
    <w:rsid w:val="0056552D"/>
    <w:rsid w:val="00565568"/>
    <w:rsid w:val="0056563F"/>
    <w:rsid w:val="0056583D"/>
    <w:rsid w:val="00566037"/>
    <w:rsid w:val="0056722E"/>
    <w:rsid w:val="0057076D"/>
    <w:rsid w:val="0057271B"/>
    <w:rsid w:val="00572FA3"/>
    <w:rsid w:val="00573071"/>
    <w:rsid w:val="00573EAF"/>
    <w:rsid w:val="00574311"/>
    <w:rsid w:val="005743F2"/>
    <w:rsid w:val="005744DC"/>
    <w:rsid w:val="00575854"/>
    <w:rsid w:val="00576032"/>
    <w:rsid w:val="00576516"/>
    <w:rsid w:val="005771C0"/>
    <w:rsid w:val="00580046"/>
    <w:rsid w:val="0058018E"/>
    <w:rsid w:val="0058046A"/>
    <w:rsid w:val="00580768"/>
    <w:rsid w:val="00580CC3"/>
    <w:rsid w:val="00581356"/>
    <w:rsid w:val="005813BF"/>
    <w:rsid w:val="00581685"/>
    <w:rsid w:val="0058179C"/>
    <w:rsid w:val="0058228A"/>
    <w:rsid w:val="00582750"/>
    <w:rsid w:val="00582888"/>
    <w:rsid w:val="00582942"/>
    <w:rsid w:val="00582CC9"/>
    <w:rsid w:val="00583055"/>
    <w:rsid w:val="005830DF"/>
    <w:rsid w:val="00583552"/>
    <w:rsid w:val="005844B3"/>
    <w:rsid w:val="005849BD"/>
    <w:rsid w:val="0058507E"/>
    <w:rsid w:val="00585384"/>
    <w:rsid w:val="00585417"/>
    <w:rsid w:val="00585A8E"/>
    <w:rsid w:val="00585B16"/>
    <w:rsid w:val="0058687C"/>
    <w:rsid w:val="005879B3"/>
    <w:rsid w:val="00587EA8"/>
    <w:rsid w:val="00590E93"/>
    <w:rsid w:val="005910B0"/>
    <w:rsid w:val="00591AA4"/>
    <w:rsid w:val="0059236E"/>
    <w:rsid w:val="005923D4"/>
    <w:rsid w:val="00592A01"/>
    <w:rsid w:val="00592B8E"/>
    <w:rsid w:val="00593809"/>
    <w:rsid w:val="0059429D"/>
    <w:rsid w:val="005945FC"/>
    <w:rsid w:val="00594FAA"/>
    <w:rsid w:val="005951C7"/>
    <w:rsid w:val="0059538F"/>
    <w:rsid w:val="0059580B"/>
    <w:rsid w:val="005959B9"/>
    <w:rsid w:val="00595F91"/>
    <w:rsid w:val="00596603"/>
    <w:rsid w:val="00596B02"/>
    <w:rsid w:val="00596E0B"/>
    <w:rsid w:val="00597991"/>
    <w:rsid w:val="00597B2E"/>
    <w:rsid w:val="00597EA4"/>
    <w:rsid w:val="005A0077"/>
    <w:rsid w:val="005A00B7"/>
    <w:rsid w:val="005A02CB"/>
    <w:rsid w:val="005A06EC"/>
    <w:rsid w:val="005A082A"/>
    <w:rsid w:val="005A082E"/>
    <w:rsid w:val="005A08D2"/>
    <w:rsid w:val="005A0E17"/>
    <w:rsid w:val="005A1FC3"/>
    <w:rsid w:val="005A2257"/>
    <w:rsid w:val="005A231B"/>
    <w:rsid w:val="005A24F0"/>
    <w:rsid w:val="005A28E3"/>
    <w:rsid w:val="005A28F3"/>
    <w:rsid w:val="005A3223"/>
    <w:rsid w:val="005A4753"/>
    <w:rsid w:val="005A4C89"/>
    <w:rsid w:val="005A513E"/>
    <w:rsid w:val="005A5D42"/>
    <w:rsid w:val="005A6F7E"/>
    <w:rsid w:val="005A7288"/>
    <w:rsid w:val="005A7777"/>
    <w:rsid w:val="005A7EF8"/>
    <w:rsid w:val="005B01E2"/>
    <w:rsid w:val="005B1987"/>
    <w:rsid w:val="005B1C52"/>
    <w:rsid w:val="005B1D5B"/>
    <w:rsid w:val="005B21CD"/>
    <w:rsid w:val="005B260F"/>
    <w:rsid w:val="005B3202"/>
    <w:rsid w:val="005B40FB"/>
    <w:rsid w:val="005B5191"/>
    <w:rsid w:val="005B54B7"/>
    <w:rsid w:val="005B7F3E"/>
    <w:rsid w:val="005C007C"/>
    <w:rsid w:val="005C136D"/>
    <w:rsid w:val="005C1B29"/>
    <w:rsid w:val="005C2AF2"/>
    <w:rsid w:val="005C2E16"/>
    <w:rsid w:val="005C3014"/>
    <w:rsid w:val="005C329B"/>
    <w:rsid w:val="005C33BC"/>
    <w:rsid w:val="005C3582"/>
    <w:rsid w:val="005C424B"/>
    <w:rsid w:val="005C4971"/>
    <w:rsid w:val="005C572E"/>
    <w:rsid w:val="005C5B13"/>
    <w:rsid w:val="005C7165"/>
    <w:rsid w:val="005C7739"/>
    <w:rsid w:val="005C7A81"/>
    <w:rsid w:val="005D0A0C"/>
    <w:rsid w:val="005D0C02"/>
    <w:rsid w:val="005D130E"/>
    <w:rsid w:val="005D1D70"/>
    <w:rsid w:val="005D2DC0"/>
    <w:rsid w:val="005D2F60"/>
    <w:rsid w:val="005D31C6"/>
    <w:rsid w:val="005D3C79"/>
    <w:rsid w:val="005D48A2"/>
    <w:rsid w:val="005D5797"/>
    <w:rsid w:val="005D584B"/>
    <w:rsid w:val="005D6268"/>
    <w:rsid w:val="005D63BF"/>
    <w:rsid w:val="005D6EEA"/>
    <w:rsid w:val="005D72C8"/>
    <w:rsid w:val="005D7592"/>
    <w:rsid w:val="005D760C"/>
    <w:rsid w:val="005D76AF"/>
    <w:rsid w:val="005E04E0"/>
    <w:rsid w:val="005E07BB"/>
    <w:rsid w:val="005E0BDB"/>
    <w:rsid w:val="005E0E16"/>
    <w:rsid w:val="005E0EA4"/>
    <w:rsid w:val="005E14AE"/>
    <w:rsid w:val="005E1FF1"/>
    <w:rsid w:val="005E26FB"/>
    <w:rsid w:val="005E2742"/>
    <w:rsid w:val="005E4168"/>
    <w:rsid w:val="005E45B1"/>
    <w:rsid w:val="005E4638"/>
    <w:rsid w:val="005E6934"/>
    <w:rsid w:val="005E7FF5"/>
    <w:rsid w:val="005F0273"/>
    <w:rsid w:val="005F14FF"/>
    <w:rsid w:val="005F1778"/>
    <w:rsid w:val="005F19C9"/>
    <w:rsid w:val="005F268F"/>
    <w:rsid w:val="005F28A1"/>
    <w:rsid w:val="005F333F"/>
    <w:rsid w:val="005F33A4"/>
    <w:rsid w:val="005F45AE"/>
    <w:rsid w:val="005F4C15"/>
    <w:rsid w:val="005F56DB"/>
    <w:rsid w:val="005F5FDA"/>
    <w:rsid w:val="005F61FD"/>
    <w:rsid w:val="005F63D6"/>
    <w:rsid w:val="005F6D08"/>
    <w:rsid w:val="005F718C"/>
    <w:rsid w:val="005F73D8"/>
    <w:rsid w:val="005F775F"/>
    <w:rsid w:val="0060191E"/>
    <w:rsid w:val="00601F8B"/>
    <w:rsid w:val="00602865"/>
    <w:rsid w:val="0060307D"/>
    <w:rsid w:val="006035F6"/>
    <w:rsid w:val="00606AAC"/>
    <w:rsid w:val="00606D6B"/>
    <w:rsid w:val="00606FBC"/>
    <w:rsid w:val="006104D0"/>
    <w:rsid w:val="00610766"/>
    <w:rsid w:val="00610B83"/>
    <w:rsid w:val="0061164F"/>
    <w:rsid w:val="0061171B"/>
    <w:rsid w:val="00611A0B"/>
    <w:rsid w:val="00611CA4"/>
    <w:rsid w:val="006121F9"/>
    <w:rsid w:val="00612264"/>
    <w:rsid w:val="00612899"/>
    <w:rsid w:val="0061289E"/>
    <w:rsid w:val="00612B37"/>
    <w:rsid w:val="00612F16"/>
    <w:rsid w:val="0061394D"/>
    <w:rsid w:val="00613B65"/>
    <w:rsid w:val="00615043"/>
    <w:rsid w:val="006150C7"/>
    <w:rsid w:val="00615777"/>
    <w:rsid w:val="00615D2E"/>
    <w:rsid w:val="006162D1"/>
    <w:rsid w:val="00616441"/>
    <w:rsid w:val="006174F7"/>
    <w:rsid w:val="006176CE"/>
    <w:rsid w:val="00617D54"/>
    <w:rsid w:val="00617FAE"/>
    <w:rsid w:val="0062098C"/>
    <w:rsid w:val="006210F1"/>
    <w:rsid w:val="00621140"/>
    <w:rsid w:val="006211EC"/>
    <w:rsid w:val="00621606"/>
    <w:rsid w:val="00621D0B"/>
    <w:rsid w:val="00622066"/>
    <w:rsid w:val="00622923"/>
    <w:rsid w:val="00622B16"/>
    <w:rsid w:val="006239F6"/>
    <w:rsid w:val="00623C1A"/>
    <w:rsid w:val="0062483C"/>
    <w:rsid w:val="00624B91"/>
    <w:rsid w:val="00625236"/>
    <w:rsid w:val="00625285"/>
    <w:rsid w:val="00625900"/>
    <w:rsid w:val="00625C95"/>
    <w:rsid w:val="00625CE4"/>
    <w:rsid w:val="00626085"/>
    <w:rsid w:val="006268B9"/>
    <w:rsid w:val="006268E1"/>
    <w:rsid w:val="00626B50"/>
    <w:rsid w:val="00626FFA"/>
    <w:rsid w:val="00627687"/>
    <w:rsid w:val="00627B4E"/>
    <w:rsid w:val="006302C8"/>
    <w:rsid w:val="0063037C"/>
    <w:rsid w:val="006305CC"/>
    <w:rsid w:val="006307CB"/>
    <w:rsid w:val="00630A83"/>
    <w:rsid w:val="00630C14"/>
    <w:rsid w:val="00630CB8"/>
    <w:rsid w:val="00631072"/>
    <w:rsid w:val="006310C1"/>
    <w:rsid w:val="006310E2"/>
    <w:rsid w:val="006330C4"/>
    <w:rsid w:val="006335CD"/>
    <w:rsid w:val="006336C1"/>
    <w:rsid w:val="006339C2"/>
    <w:rsid w:val="00633F94"/>
    <w:rsid w:val="00634ADE"/>
    <w:rsid w:val="0063536B"/>
    <w:rsid w:val="0063546F"/>
    <w:rsid w:val="00635A53"/>
    <w:rsid w:val="0063602C"/>
    <w:rsid w:val="00636709"/>
    <w:rsid w:val="00636DD7"/>
    <w:rsid w:val="00636EBF"/>
    <w:rsid w:val="006378BE"/>
    <w:rsid w:val="00637AD8"/>
    <w:rsid w:val="00640511"/>
    <w:rsid w:val="00640512"/>
    <w:rsid w:val="006406FF"/>
    <w:rsid w:val="00640A2F"/>
    <w:rsid w:val="00640B32"/>
    <w:rsid w:val="00641963"/>
    <w:rsid w:val="00641B01"/>
    <w:rsid w:val="0064210C"/>
    <w:rsid w:val="00643397"/>
    <w:rsid w:val="006438A8"/>
    <w:rsid w:val="00644316"/>
    <w:rsid w:val="00644BC5"/>
    <w:rsid w:val="00645443"/>
    <w:rsid w:val="006473D8"/>
    <w:rsid w:val="0064789B"/>
    <w:rsid w:val="00650B1C"/>
    <w:rsid w:val="00651CC8"/>
    <w:rsid w:val="00651E34"/>
    <w:rsid w:val="0065275F"/>
    <w:rsid w:val="00653815"/>
    <w:rsid w:val="0065397A"/>
    <w:rsid w:val="0065458F"/>
    <w:rsid w:val="00654709"/>
    <w:rsid w:val="00654974"/>
    <w:rsid w:val="00654AED"/>
    <w:rsid w:val="00654BDF"/>
    <w:rsid w:val="00655223"/>
    <w:rsid w:val="006553E3"/>
    <w:rsid w:val="006559E5"/>
    <w:rsid w:val="006561F3"/>
    <w:rsid w:val="006567BF"/>
    <w:rsid w:val="00656C34"/>
    <w:rsid w:val="00660121"/>
    <w:rsid w:val="00660610"/>
    <w:rsid w:val="0066096F"/>
    <w:rsid w:val="00660EC9"/>
    <w:rsid w:val="00661886"/>
    <w:rsid w:val="006619B0"/>
    <w:rsid w:val="006619E0"/>
    <w:rsid w:val="006621B5"/>
    <w:rsid w:val="006621E9"/>
    <w:rsid w:val="006624AB"/>
    <w:rsid w:val="00662720"/>
    <w:rsid w:val="00662F92"/>
    <w:rsid w:val="00663193"/>
    <w:rsid w:val="00663512"/>
    <w:rsid w:val="006638AE"/>
    <w:rsid w:val="00663CAF"/>
    <w:rsid w:val="00663E00"/>
    <w:rsid w:val="00663EB0"/>
    <w:rsid w:val="006642F7"/>
    <w:rsid w:val="0066526A"/>
    <w:rsid w:val="00665EE6"/>
    <w:rsid w:val="006660F4"/>
    <w:rsid w:val="00666221"/>
    <w:rsid w:val="00666354"/>
    <w:rsid w:val="006664BA"/>
    <w:rsid w:val="00666E1F"/>
    <w:rsid w:val="006671E1"/>
    <w:rsid w:val="0066775A"/>
    <w:rsid w:val="00667F50"/>
    <w:rsid w:val="006702FB"/>
    <w:rsid w:val="00670675"/>
    <w:rsid w:val="006706EF"/>
    <w:rsid w:val="0067097A"/>
    <w:rsid w:val="00670AD9"/>
    <w:rsid w:val="00670F3F"/>
    <w:rsid w:val="006711DD"/>
    <w:rsid w:val="00671AC2"/>
    <w:rsid w:val="00671B95"/>
    <w:rsid w:val="0067255F"/>
    <w:rsid w:val="00673D8D"/>
    <w:rsid w:val="00674103"/>
    <w:rsid w:val="00674583"/>
    <w:rsid w:val="00674C0B"/>
    <w:rsid w:val="00675320"/>
    <w:rsid w:val="00676BB3"/>
    <w:rsid w:val="00677558"/>
    <w:rsid w:val="00677AED"/>
    <w:rsid w:val="006806E7"/>
    <w:rsid w:val="00680A14"/>
    <w:rsid w:val="006819C2"/>
    <w:rsid w:val="00681CE8"/>
    <w:rsid w:val="00682BAA"/>
    <w:rsid w:val="00682BF8"/>
    <w:rsid w:val="00683939"/>
    <w:rsid w:val="00683DCE"/>
    <w:rsid w:val="00683EA3"/>
    <w:rsid w:val="00684C96"/>
    <w:rsid w:val="00685E08"/>
    <w:rsid w:val="00686A2E"/>
    <w:rsid w:val="00686B5D"/>
    <w:rsid w:val="006870A9"/>
    <w:rsid w:val="0069041E"/>
    <w:rsid w:val="00690E24"/>
    <w:rsid w:val="00690EFC"/>
    <w:rsid w:val="0069151C"/>
    <w:rsid w:val="006915FF"/>
    <w:rsid w:val="00692798"/>
    <w:rsid w:val="00692928"/>
    <w:rsid w:val="00693291"/>
    <w:rsid w:val="00693658"/>
    <w:rsid w:val="00693738"/>
    <w:rsid w:val="006948AB"/>
    <w:rsid w:val="006948CC"/>
    <w:rsid w:val="00694947"/>
    <w:rsid w:val="00695503"/>
    <w:rsid w:val="00695EC9"/>
    <w:rsid w:val="00695F6E"/>
    <w:rsid w:val="00696B58"/>
    <w:rsid w:val="00696B5B"/>
    <w:rsid w:val="00696B98"/>
    <w:rsid w:val="00696DFE"/>
    <w:rsid w:val="0069710A"/>
    <w:rsid w:val="00697524"/>
    <w:rsid w:val="006A01F9"/>
    <w:rsid w:val="006A0738"/>
    <w:rsid w:val="006A0AE7"/>
    <w:rsid w:val="006A1A18"/>
    <w:rsid w:val="006A1B45"/>
    <w:rsid w:val="006A2A27"/>
    <w:rsid w:val="006A43B9"/>
    <w:rsid w:val="006A5089"/>
    <w:rsid w:val="006A58BA"/>
    <w:rsid w:val="006A5C6D"/>
    <w:rsid w:val="006A614B"/>
    <w:rsid w:val="006A6177"/>
    <w:rsid w:val="006A66D7"/>
    <w:rsid w:val="006A7A9A"/>
    <w:rsid w:val="006B073D"/>
    <w:rsid w:val="006B12D6"/>
    <w:rsid w:val="006B14FD"/>
    <w:rsid w:val="006B1BCC"/>
    <w:rsid w:val="006B1BE1"/>
    <w:rsid w:val="006B1C96"/>
    <w:rsid w:val="006B3BB0"/>
    <w:rsid w:val="006B44C1"/>
    <w:rsid w:val="006B5359"/>
    <w:rsid w:val="006B566C"/>
    <w:rsid w:val="006B56B8"/>
    <w:rsid w:val="006B5823"/>
    <w:rsid w:val="006B6127"/>
    <w:rsid w:val="006B61B2"/>
    <w:rsid w:val="006B6CF5"/>
    <w:rsid w:val="006B7345"/>
    <w:rsid w:val="006B7BA4"/>
    <w:rsid w:val="006C1A83"/>
    <w:rsid w:val="006C275D"/>
    <w:rsid w:val="006C29C4"/>
    <w:rsid w:val="006C2D75"/>
    <w:rsid w:val="006C34AD"/>
    <w:rsid w:val="006C3A85"/>
    <w:rsid w:val="006C5A03"/>
    <w:rsid w:val="006C66A3"/>
    <w:rsid w:val="006C6762"/>
    <w:rsid w:val="006C7785"/>
    <w:rsid w:val="006C7FD0"/>
    <w:rsid w:val="006D013E"/>
    <w:rsid w:val="006D10C7"/>
    <w:rsid w:val="006D1745"/>
    <w:rsid w:val="006D1815"/>
    <w:rsid w:val="006D2440"/>
    <w:rsid w:val="006D2A65"/>
    <w:rsid w:val="006D2E3E"/>
    <w:rsid w:val="006D3286"/>
    <w:rsid w:val="006D4405"/>
    <w:rsid w:val="006D4802"/>
    <w:rsid w:val="006D4950"/>
    <w:rsid w:val="006D4F09"/>
    <w:rsid w:val="006D5173"/>
    <w:rsid w:val="006D5B87"/>
    <w:rsid w:val="006D6BF3"/>
    <w:rsid w:val="006E0223"/>
    <w:rsid w:val="006E100E"/>
    <w:rsid w:val="006E200E"/>
    <w:rsid w:val="006E200F"/>
    <w:rsid w:val="006E2111"/>
    <w:rsid w:val="006E2A4C"/>
    <w:rsid w:val="006E3DFC"/>
    <w:rsid w:val="006E4591"/>
    <w:rsid w:val="006E4BF2"/>
    <w:rsid w:val="006E4D3A"/>
    <w:rsid w:val="006E4DFA"/>
    <w:rsid w:val="006E50E5"/>
    <w:rsid w:val="006E5462"/>
    <w:rsid w:val="006E5EA5"/>
    <w:rsid w:val="006E6BDE"/>
    <w:rsid w:val="006E6D24"/>
    <w:rsid w:val="006E7655"/>
    <w:rsid w:val="006E79B8"/>
    <w:rsid w:val="006E7DDF"/>
    <w:rsid w:val="006F0261"/>
    <w:rsid w:val="006F0427"/>
    <w:rsid w:val="006F0B07"/>
    <w:rsid w:val="006F1662"/>
    <w:rsid w:val="006F240B"/>
    <w:rsid w:val="006F25EE"/>
    <w:rsid w:val="006F28A2"/>
    <w:rsid w:val="006F3084"/>
    <w:rsid w:val="006F3444"/>
    <w:rsid w:val="006F4B64"/>
    <w:rsid w:val="006F66E9"/>
    <w:rsid w:val="006F670D"/>
    <w:rsid w:val="00701235"/>
    <w:rsid w:val="0070126C"/>
    <w:rsid w:val="007012AE"/>
    <w:rsid w:val="007012E5"/>
    <w:rsid w:val="00701FEA"/>
    <w:rsid w:val="00702C62"/>
    <w:rsid w:val="007033F4"/>
    <w:rsid w:val="00703546"/>
    <w:rsid w:val="007037C6"/>
    <w:rsid w:val="0070482A"/>
    <w:rsid w:val="00704F38"/>
    <w:rsid w:val="00705C1E"/>
    <w:rsid w:val="00706B83"/>
    <w:rsid w:val="00707962"/>
    <w:rsid w:val="007100E0"/>
    <w:rsid w:val="00710429"/>
    <w:rsid w:val="007109B8"/>
    <w:rsid w:val="0071157A"/>
    <w:rsid w:val="00712031"/>
    <w:rsid w:val="00712355"/>
    <w:rsid w:val="0071408F"/>
    <w:rsid w:val="007147A1"/>
    <w:rsid w:val="00715083"/>
    <w:rsid w:val="00715BA4"/>
    <w:rsid w:val="007167BB"/>
    <w:rsid w:val="00716BDC"/>
    <w:rsid w:val="0071701A"/>
    <w:rsid w:val="007171A3"/>
    <w:rsid w:val="007177C2"/>
    <w:rsid w:val="00717838"/>
    <w:rsid w:val="007179C5"/>
    <w:rsid w:val="0072038E"/>
    <w:rsid w:val="00720452"/>
    <w:rsid w:val="007217A6"/>
    <w:rsid w:val="00721E2A"/>
    <w:rsid w:val="00722115"/>
    <w:rsid w:val="00722177"/>
    <w:rsid w:val="00723B5D"/>
    <w:rsid w:val="00725490"/>
    <w:rsid w:val="007255C8"/>
    <w:rsid w:val="0072612A"/>
    <w:rsid w:val="00726AE3"/>
    <w:rsid w:val="00726E2A"/>
    <w:rsid w:val="00727E5C"/>
    <w:rsid w:val="00730CF3"/>
    <w:rsid w:val="00730D80"/>
    <w:rsid w:val="00730FFA"/>
    <w:rsid w:val="00731958"/>
    <w:rsid w:val="00732821"/>
    <w:rsid w:val="00733ACB"/>
    <w:rsid w:val="0073414C"/>
    <w:rsid w:val="00734A2C"/>
    <w:rsid w:val="00734B8E"/>
    <w:rsid w:val="00734E3F"/>
    <w:rsid w:val="0073605A"/>
    <w:rsid w:val="00736359"/>
    <w:rsid w:val="00736979"/>
    <w:rsid w:val="0073703E"/>
    <w:rsid w:val="00737546"/>
    <w:rsid w:val="00737C80"/>
    <w:rsid w:val="0074037B"/>
    <w:rsid w:val="00740C29"/>
    <w:rsid w:val="007422CE"/>
    <w:rsid w:val="00742E5D"/>
    <w:rsid w:val="00743A5B"/>
    <w:rsid w:val="007446D7"/>
    <w:rsid w:val="007452B9"/>
    <w:rsid w:val="0074535E"/>
    <w:rsid w:val="00745367"/>
    <w:rsid w:val="007458AC"/>
    <w:rsid w:val="00745A30"/>
    <w:rsid w:val="0074607A"/>
    <w:rsid w:val="007466B3"/>
    <w:rsid w:val="00746B5D"/>
    <w:rsid w:val="00746C65"/>
    <w:rsid w:val="0074719D"/>
    <w:rsid w:val="007472EE"/>
    <w:rsid w:val="007474AF"/>
    <w:rsid w:val="00747B34"/>
    <w:rsid w:val="00750027"/>
    <w:rsid w:val="00751BB1"/>
    <w:rsid w:val="00751C6C"/>
    <w:rsid w:val="00752239"/>
    <w:rsid w:val="007522E5"/>
    <w:rsid w:val="0075249A"/>
    <w:rsid w:val="00752B3A"/>
    <w:rsid w:val="007531FF"/>
    <w:rsid w:val="00754C7D"/>
    <w:rsid w:val="007563B3"/>
    <w:rsid w:val="007567B5"/>
    <w:rsid w:val="00756B9C"/>
    <w:rsid w:val="00756C0C"/>
    <w:rsid w:val="00757371"/>
    <w:rsid w:val="00757936"/>
    <w:rsid w:val="00757D7A"/>
    <w:rsid w:val="00757E73"/>
    <w:rsid w:val="0076037F"/>
    <w:rsid w:val="007609A7"/>
    <w:rsid w:val="00760E25"/>
    <w:rsid w:val="007622A5"/>
    <w:rsid w:val="007628A6"/>
    <w:rsid w:val="0076334F"/>
    <w:rsid w:val="00764EAE"/>
    <w:rsid w:val="007653B8"/>
    <w:rsid w:val="00765E33"/>
    <w:rsid w:val="00766982"/>
    <w:rsid w:val="00766EBE"/>
    <w:rsid w:val="00767023"/>
    <w:rsid w:val="00767147"/>
    <w:rsid w:val="007671E8"/>
    <w:rsid w:val="0076724F"/>
    <w:rsid w:val="00767C64"/>
    <w:rsid w:val="007705EE"/>
    <w:rsid w:val="00770ADD"/>
    <w:rsid w:val="00770EC6"/>
    <w:rsid w:val="00774AA9"/>
    <w:rsid w:val="00775BCF"/>
    <w:rsid w:val="00776F57"/>
    <w:rsid w:val="007771B1"/>
    <w:rsid w:val="00777CE9"/>
    <w:rsid w:val="00780201"/>
    <w:rsid w:val="00780887"/>
    <w:rsid w:val="00781E7B"/>
    <w:rsid w:val="007822CD"/>
    <w:rsid w:val="00782D11"/>
    <w:rsid w:val="0078317F"/>
    <w:rsid w:val="00783B36"/>
    <w:rsid w:val="00783EC4"/>
    <w:rsid w:val="00785528"/>
    <w:rsid w:val="00785542"/>
    <w:rsid w:val="00785823"/>
    <w:rsid w:val="00785A79"/>
    <w:rsid w:val="00785F35"/>
    <w:rsid w:val="00785F7E"/>
    <w:rsid w:val="0078712A"/>
    <w:rsid w:val="00787253"/>
    <w:rsid w:val="00787586"/>
    <w:rsid w:val="0078758B"/>
    <w:rsid w:val="00787A16"/>
    <w:rsid w:val="00787FA4"/>
    <w:rsid w:val="0079042E"/>
    <w:rsid w:val="007906CC"/>
    <w:rsid w:val="007909F1"/>
    <w:rsid w:val="00790CE7"/>
    <w:rsid w:val="0079244A"/>
    <w:rsid w:val="00792A8C"/>
    <w:rsid w:val="007942BB"/>
    <w:rsid w:val="00794F40"/>
    <w:rsid w:val="00794F83"/>
    <w:rsid w:val="00795365"/>
    <w:rsid w:val="007953B3"/>
    <w:rsid w:val="0079549C"/>
    <w:rsid w:val="00795EF3"/>
    <w:rsid w:val="00797911"/>
    <w:rsid w:val="00797C39"/>
    <w:rsid w:val="00797E31"/>
    <w:rsid w:val="007A004D"/>
    <w:rsid w:val="007A02C1"/>
    <w:rsid w:val="007A0C32"/>
    <w:rsid w:val="007A0EB2"/>
    <w:rsid w:val="007A2239"/>
    <w:rsid w:val="007A29FC"/>
    <w:rsid w:val="007A4A7F"/>
    <w:rsid w:val="007A4BFB"/>
    <w:rsid w:val="007A522E"/>
    <w:rsid w:val="007A529A"/>
    <w:rsid w:val="007A6649"/>
    <w:rsid w:val="007A69D9"/>
    <w:rsid w:val="007A6C6E"/>
    <w:rsid w:val="007A7F51"/>
    <w:rsid w:val="007A7FE3"/>
    <w:rsid w:val="007B00BE"/>
    <w:rsid w:val="007B0587"/>
    <w:rsid w:val="007B0667"/>
    <w:rsid w:val="007B119B"/>
    <w:rsid w:val="007B1A4C"/>
    <w:rsid w:val="007B1D3B"/>
    <w:rsid w:val="007B2684"/>
    <w:rsid w:val="007B2812"/>
    <w:rsid w:val="007B3065"/>
    <w:rsid w:val="007B3690"/>
    <w:rsid w:val="007B4768"/>
    <w:rsid w:val="007B4C67"/>
    <w:rsid w:val="007B633C"/>
    <w:rsid w:val="007B6AC9"/>
    <w:rsid w:val="007B6C6A"/>
    <w:rsid w:val="007C0099"/>
    <w:rsid w:val="007C0391"/>
    <w:rsid w:val="007C0712"/>
    <w:rsid w:val="007C1827"/>
    <w:rsid w:val="007C1CF6"/>
    <w:rsid w:val="007C23ED"/>
    <w:rsid w:val="007C24A9"/>
    <w:rsid w:val="007C2DDF"/>
    <w:rsid w:val="007C31AD"/>
    <w:rsid w:val="007C31D4"/>
    <w:rsid w:val="007C3487"/>
    <w:rsid w:val="007C3AE4"/>
    <w:rsid w:val="007C4686"/>
    <w:rsid w:val="007C46CA"/>
    <w:rsid w:val="007C4B3F"/>
    <w:rsid w:val="007C4F7B"/>
    <w:rsid w:val="007C520C"/>
    <w:rsid w:val="007C59FD"/>
    <w:rsid w:val="007C5BA7"/>
    <w:rsid w:val="007C5CE4"/>
    <w:rsid w:val="007C6312"/>
    <w:rsid w:val="007C68B4"/>
    <w:rsid w:val="007C6E5C"/>
    <w:rsid w:val="007C75EF"/>
    <w:rsid w:val="007C79FB"/>
    <w:rsid w:val="007D008C"/>
    <w:rsid w:val="007D0290"/>
    <w:rsid w:val="007D06E5"/>
    <w:rsid w:val="007D080F"/>
    <w:rsid w:val="007D1317"/>
    <w:rsid w:val="007D178C"/>
    <w:rsid w:val="007D2BAF"/>
    <w:rsid w:val="007D2E60"/>
    <w:rsid w:val="007D3D6A"/>
    <w:rsid w:val="007D5049"/>
    <w:rsid w:val="007D538A"/>
    <w:rsid w:val="007D5E33"/>
    <w:rsid w:val="007D678D"/>
    <w:rsid w:val="007D69F9"/>
    <w:rsid w:val="007D6E6A"/>
    <w:rsid w:val="007D748C"/>
    <w:rsid w:val="007D7848"/>
    <w:rsid w:val="007E0166"/>
    <w:rsid w:val="007E04D6"/>
    <w:rsid w:val="007E120C"/>
    <w:rsid w:val="007E14F8"/>
    <w:rsid w:val="007E1DC6"/>
    <w:rsid w:val="007E25C0"/>
    <w:rsid w:val="007E32AF"/>
    <w:rsid w:val="007E3B78"/>
    <w:rsid w:val="007E3F5C"/>
    <w:rsid w:val="007E4585"/>
    <w:rsid w:val="007E47BF"/>
    <w:rsid w:val="007E4C95"/>
    <w:rsid w:val="007E4CD9"/>
    <w:rsid w:val="007E4E01"/>
    <w:rsid w:val="007E5238"/>
    <w:rsid w:val="007E52E6"/>
    <w:rsid w:val="007E54AB"/>
    <w:rsid w:val="007E5D59"/>
    <w:rsid w:val="007E64DD"/>
    <w:rsid w:val="007E7B9E"/>
    <w:rsid w:val="007E7D74"/>
    <w:rsid w:val="007E7E8C"/>
    <w:rsid w:val="007F05B5"/>
    <w:rsid w:val="007F0604"/>
    <w:rsid w:val="007F11FE"/>
    <w:rsid w:val="007F14AC"/>
    <w:rsid w:val="007F20FC"/>
    <w:rsid w:val="007F2618"/>
    <w:rsid w:val="007F3647"/>
    <w:rsid w:val="007F3F9B"/>
    <w:rsid w:val="007F4712"/>
    <w:rsid w:val="007F5DD7"/>
    <w:rsid w:val="007F5ECD"/>
    <w:rsid w:val="007F68D4"/>
    <w:rsid w:val="007F6E69"/>
    <w:rsid w:val="007F7F99"/>
    <w:rsid w:val="00800691"/>
    <w:rsid w:val="008009C9"/>
    <w:rsid w:val="00800B88"/>
    <w:rsid w:val="008013E7"/>
    <w:rsid w:val="0080140E"/>
    <w:rsid w:val="00802C42"/>
    <w:rsid w:val="00802CFA"/>
    <w:rsid w:val="00803110"/>
    <w:rsid w:val="008046E0"/>
    <w:rsid w:val="00804862"/>
    <w:rsid w:val="0080496B"/>
    <w:rsid w:val="00804FBC"/>
    <w:rsid w:val="008050F5"/>
    <w:rsid w:val="00806D89"/>
    <w:rsid w:val="008079C1"/>
    <w:rsid w:val="00807D3F"/>
    <w:rsid w:val="00807F30"/>
    <w:rsid w:val="008104BA"/>
    <w:rsid w:val="00810631"/>
    <w:rsid w:val="00810778"/>
    <w:rsid w:val="00810809"/>
    <w:rsid w:val="00811157"/>
    <w:rsid w:val="008120F6"/>
    <w:rsid w:val="0081252F"/>
    <w:rsid w:val="008126B7"/>
    <w:rsid w:val="00812814"/>
    <w:rsid w:val="00812CF3"/>
    <w:rsid w:val="00812F5C"/>
    <w:rsid w:val="00813F21"/>
    <w:rsid w:val="00814F51"/>
    <w:rsid w:val="008151CD"/>
    <w:rsid w:val="00816078"/>
    <w:rsid w:val="00816DA6"/>
    <w:rsid w:val="0081738E"/>
    <w:rsid w:val="008176B4"/>
    <w:rsid w:val="00817826"/>
    <w:rsid w:val="008204CF"/>
    <w:rsid w:val="00821404"/>
    <w:rsid w:val="00821611"/>
    <w:rsid w:val="008217D5"/>
    <w:rsid w:val="0082187A"/>
    <w:rsid w:val="00821B0E"/>
    <w:rsid w:val="00822B20"/>
    <w:rsid w:val="008239AC"/>
    <w:rsid w:val="008244C6"/>
    <w:rsid w:val="00824734"/>
    <w:rsid w:val="00826B18"/>
    <w:rsid w:val="00826F2D"/>
    <w:rsid w:val="008275C2"/>
    <w:rsid w:val="008275C4"/>
    <w:rsid w:val="0082777D"/>
    <w:rsid w:val="00830076"/>
    <w:rsid w:val="00830640"/>
    <w:rsid w:val="00830E38"/>
    <w:rsid w:val="008316CF"/>
    <w:rsid w:val="00831B59"/>
    <w:rsid w:val="00831BA0"/>
    <w:rsid w:val="00831D52"/>
    <w:rsid w:val="00831E5E"/>
    <w:rsid w:val="0083224F"/>
    <w:rsid w:val="008330CC"/>
    <w:rsid w:val="00834478"/>
    <w:rsid w:val="00834851"/>
    <w:rsid w:val="00835550"/>
    <w:rsid w:val="00835675"/>
    <w:rsid w:val="00835767"/>
    <w:rsid w:val="00837664"/>
    <w:rsid w:val="00837796"/>
    <w:rsid w:val="00837831"/>
    <w:rsid w:val="008401DE"/>
    <w:rsid w:val="00840C3F"/>
    <w:rsid w:val="0084149D"/>
    <w:rsid w:val="008418DB"/>
    <w:rsid w:val="00843259"/>
    <w:rsid w:val="00843325"/>
    <w:rsid w:val="00844052"/>
    <w:rsid w:val="00844997"/>
    <w:rsid w:val="0084617D"/>
    <w:rsid w:val="00846646"/>
    <w:rsid w:val="00847804"/>
    <w:rsid w:val="00850310"/>
    <w:rsid w:val="008504FB"/>
    <w:rsid w:val="008517F2"/>
    <w:rsid w:val="00852FBD"/>
    <w:rsid w:val="008540EC"/>
    <w:rsid w:val="008542EF"/>
    <w:rsid w:val="00855213"/>
    <w:rsid w:val="00855B95"/>
    <w:rsid w:val="008560B8"/>
    <w:rsid w:val="008567D8"/>
    <w:rsid w:val="00856EB5"/>
    <w:rsid w:val="008570F1"/>
    <w:rsid w:val="00857349"/>
    <w:rsid w:val="008577CB"/>
    <w:rsid w:val="00860BAE"/>
    <w:rsid w:val="00860C14"/>
    <w:rsid w:val="008611A1"/>
    <w:rsid w:val="0086291C"/>
    <w:rsid w:val="00863363"/>
    <w:rsid w:val="0086357A"/>
    <w:rsid w:val="00863DDD"/>
    <w:rsid w:val="00865210"/>
    <w:rsid w:val="00865252"/>
    <w:rsid w:val="00866291"/>
    <w:rsid w:val="00866879"/>
    <w:rsid w:val="00866DFB"/>
    <w:rsid w:val="00866E2B"/>
    <w:rsid w:val="00867172"/>
    <w:rsid w:val="00870C99"/>
    <w:rsid w:val="0087300E"/>
    <w:rsid w:val="00873AF8"/>
    <w:rsid w:val="00873FE5"/>
    <w:rsid w:val="00874DF8"/>
    <w:rsid w:val="00875412"/>
    <w:rsid w:val="00875D93"/>
    <w:rsid w:val="0087618A"/>
    <w:rsid w:val="008766DD"/>
    <w:rsid w:val="00876F73"/>
    <w:rsid w:val="00877972"/>
    <w:rsid w:val="00877F12"/>
    <w:rsid w:val="00880E71"/>
    <w:rsid w:val="0088151B"/>
    <w:rsid w:val="00881DB1"/>
    <w:rsid w:val="00882842"/>
    <w:rsid w:val="0088346F"/>
    <w:rsid w:val="008840F1"/>
    <w:rsid w:val="0088437F"/>
    <w:rsid w:val="00884BFA"/>
    <w:rsid w:val="00884DA0"/>
    <w:rsid w:val="008855C3"/>
    <w:rsid w:val="00886138"/>
    <w:rsid w:val="00886571"/>
    <w:rsid w:val="0088661D"/>
    <w:rsid w:val="00886907"/>
    <w:rsid w:val="00886A8C"/>
    <w:rsid w:val="00887534"/>
    <w:rsid w:val="00887A97"/>
    <w:rsid w:val="00890472"/>
    <w:rsid w:val="00890830"/>
    <w:rsid w:val="00891A94"/>
    <w:rsid w:val="00891D99"/>
    <w:rsid w:val="00891F48"/>
    <w:rsid w:val="00892382"/>
    <w:rsid w:val="00892DEB"/>
    <w:rsid w:val="00892F13"/>
    <w:rsid w:val="00893BF1"/>
    <w:rsid w:val="00893CE6"/>
    <w:rsid w:val="00893F1E"/>
    <w:rsid w:val="008951A5"/>
    <w:rsid w:val="008974C5"/>
    <w:rsid w:val="00897A0F"/>
    <w:rsid w:val="00897C17"/>
    <w:rsid w:val="00897CEF"/>
    <w:rsid w:val="008A028A"/>
    <w:rsid w:val="008A0A91"/>
    <w:rsid w:val="008A140E"/>
    <w:rsid w:val="008A1CBC"/>
    <w:rsid w:val="008A2155"/>
    <w:rsid w:val="008A21E6"/>
    <w:rsid w:val="008A266E"/>
    <w:rsid w:val="008A2A30"/>
    <w:rsid w:val="008A2C16"/>
    <w:rsid w:val="008A2C91"/>
    <w:rsid w:val="008A2D48"/>
    <w:rsid w:val="008A346B"/>
    <w:rsid w:val="008A4CFB"/>
    <w:rsid w:val="008A5A29"/>
    <w:rsid w:val="008A5BA4"/>
    <w:rsid w:val="008A638B"/>
    <w:rsid w:val="008A6447"/>
    <w:rsid w:val="008A653D"/>
    <w:rsid w:val="008A6600"/>
    <w:rsid w:val="008A66B1"/>
    <w:rsid w:val="008A6843"/>
    <w:rsid w:val="008A68FB"/>
    <w:rsid w:val="008A6A55"/>
    <w:rsid w:val="008A6F8B"/>
    <w:rsid w:val="008A7181"/>
    <w:rsid w:val="008A75F5"/>
    <w:rsid w:val="008A7A2C"/>
    <w:rsid w:val="008B006C"/>
    <w:rsid w:val="008B2062"/>
    <w:rsid w:val="008B213E"/>
    <w:rsid w:val="008B2BB7"/>
    <w:rsid w:val="008B2DCC"/>
    <w:rsid w:val="008B40CA"/>
    <w:rsid w:val="008B410B"/>
    <w:rsid w:val="008B46C3"/>
    <w:rsid w:val="008B5682"/>
    <w:rsid w:val="008B5C1F"/>
    <w:rsid w:val="008B5EB5"/>
    <w:rsid w:val="008B63D2"/>
    <w:rsid w:val="008B73F5"/>
    <w:rsid w:val="008B7AEF"/>
    <w:rsid w:val="008C0011"/>
    <w:rsid w:val="008C0BCF"/>
    <w:rsid w:val="008C1DD9"/>
    <w:rsid w:val="008C1E37"/>
    <w:rsid w:val="008C2718"/>
    <w:rsid w:val="008C343B"/>
    <w:rsid w:val="008C4943"/>
    <w:rsid w:val="008C5CDA"/>
    <w:rsid w:val="008C5FAC"/>
    <w:rsid w:val="008C6647"/>
    <w:rsid w:val="008C6CC5"/>
    <w:rsid w:val="008D0355"/>
    <w:rsid w:val="008D0789"/>
    <w:rsid w:val="008D0DAF"/>
    <w:rsid w:val="008D1137"/>
    <w:rsid w:val="008D12FE"/>
    <w:rsid w:val="008D1708"/>
    <w:rsid w:val="008D22D6"/>
    <w:rsid w:val="008D2BAD"/>
    <w:rsid w:val="008D2D11"/>
    <w:rsid w:val="008D2F3C"/>
    <w:rsid w:val="008D2FC5"/>
    <w:rsid w:val="008D3F19"/>
    <w:rsid w:val="008D45CB"/>
    <w:rsid w:val="008D4C02"/>
    <w:rsid w:val="008D4ECB"/>
    <w:rsid w:val="008D4F0C"/>
    <w:rsid w:val="008D5132"/>
    <w:rsid w:val="008D5A42"/>
    <w:rsid w:val="008D6302"/>
    <w:rsid w:val="008D6377"/>
    <w:rsid w:val="008D7632"/>
    <w:rsid w:val="008D76F0"/>
    <w:rsid w:val="008E0251"/>
    <w:rsid w:val="008E0D20"/>
    <w:rsid w:val="008E0D9F"/>
    <w:rsid w:val="008E178F"/>
    <w:rsid w:val="008E1C27"/>
    <w:rsid w:val="008E1CB1"/>
    <w:rsid w:val="008E26BB"/>
    <w:rsid w:val="008E3408"/>
    <w:rsid w:val="008E3733"/>
    <w:rsid w:val="008E3ECC"/>
    <w:rsid w:val="008E4D56"/>
    <w:rsid w:val="008E52BF"/>
    <w:rsid w:val="008E5DAD"/>
    <w:rsid w:val="008E69B8"/>
    <w:rsid w:val="008E7347"/>
    <w:rsid w:val="008E75A3"/>
    <w:rsid w:val="008E7ADF"/>
    <w:rsid w:val="008E7F6B"/>
    <w:rsid w:val="008F0970"/>
    <w:rsid w:val="008F0D71"/>
    <w:rsid w:val="008F204C"/>
    <w:rsid w:val="008F38F1"/>
    <w:rsid w:val="008F39E9"/>
    <w:rsid w:val="008F3D61"/>
    <w:rsid w:val="008F45CF"/>
    <w:rsid w:val="008F614F"/>
    <w:rsid w:val="008F7CF7"/>
    <w:rsid w:val="008F7EB4"/>
    <w:rsid w:val="00900419"/>
    <w:rsid w:val="009007D7"/>
    <w:rsid w:val="0090274C"/>
    <w:rsid w:val="009031F6"/>
    <w:rsid w:val="00903985"/>
    <w:rsid w:val="009047C3"/>
    <w:rsid w:val="00904D9F"/>
    <w:rsid w:val="009064F9"/>
    <w:rsid w:val="00906D88"/>
    <w:rsid w:val="00906E28"/>
    <w:rsid w:val="00906E97"/>
    <w:rsid w:val="00906EE3"/>
    <w:rsid w:val="009075A1"/>
    <w:rsid w:val="00907922"/>
    <w:rsid w:val="009101C3"/>
    <w:rsid w:val="00910FAE"/>
    <w:rsid w:val="00911971"/>
    <w:rsid w:val="00912800"/>
    <w:rsid w:val="00914A31"/>
    <w:rsid w:val="00914C1B"/>
    <w:rsid w:val="00915838"/>
    <w:rsid w:val="00915DC5"/>
    <w:rsid w:val="00916667"/>
    <w:rsid w:val="00917AB8"/>
    <w:rsid w:val="00920400"/>
    <w:rsid w:val="0092112C"/>
    <w:rsid w:val="00921939"/>
    <w:rsid w:val="0092221A"/>
    <w:rsid w:val="009234E3"/>
    <w:rsid w:val="0092350A"/>
    <w:rsid w:val="00923772"/>
    <w:rsid w:val="00923909"/>
    <w:rsid w:val="00923CC0"/>
    <w:rsid w:val="00924212"/>
    <w:rsid w:val="009250A3"/>
    <w:rsid w:val="00925626"/>
    <w:rsid w:val="009278E1"/>
    <w:rsid w:val="009310E4"/>
    <w:rsid w:val="0093116C"/>
    <w:rsid w:val="00931A5A"/>
    <w:rsid w:val="00931F22"/>
    <w:rsid w:val="009329CF"/>
    <w:rsid w:val="009330F6"/>
    <w:rsid w:val="00933AEA"/>
    <w:rsid w:val="009346E2"/>
    <w:rsid w:val="00934DB2"/>
    <w:rsid w:val="00935399"/>
    <w:rsid w:val="00935543"/>
    <w:rsid w:val="00936B27"/>
    <w:rsid w:val="00937071"/>
    <w:rsid w:val="00937AC8"/>
    <w:rsid w:val="00940B36"/>
    <w:rsid w:val="00940DA9"/>
    <w:rsid w:val="0094173E"/>
    <w:rsid w:val="009417F0"/>
    <w:rsid w:val="00942B35"/>
    <w:rsid w:val="00943309"/>
    <w:rsid w:val="00943859"/>
    <w:rsid w:val="00943974"/>
    <w:rsid w:val="009441C2"/>
    <w:rsid w:val="00944E40"/>
    <w:rsid w:val="00944E70"/>
    <w:rsid w:val="00945331"/>
    <w:rsid w:val="00945D20"/>
    <w:rsid w:val="009461E3"/>
    <w:rsid w:val="00947256"/>
    <w:rsid w:val="00947A03"/>
    <w:rsid w:val="00947B49"/>
    <w:rsid w:val="009501FF"/>
    <w:rsid w:val="00950626"/>
    <w:rsid w:val="00950989"/>
    <w:rsid w:val="00950A3B"/>
    <w:rsid w:val="00951DD2"/>
    <w:rsid w:val="00952F6D"/>
    <w:rsid w:val="00953D6B"/>
    <w:rsid w:val="00954899"/>
    <w:rsid w:val="00954AFD"/>
    <w:rsid w:val="0095506F"/>
    <w:rsid w:val="009553D8"/>
    <w:rsid w:val="009556E4"/>
    <w:rsid w:val="00956278"/>
    <w:rsid w:val="00956630"/>
    <w:rsid w:val="00956DE3"/>
    <w:rsid w:val="009574DE"/>
    <w:rsid w:val="009577B4"/>
    <w:rsid w:val="00957DF2"/>
    <w:rsid w:val="00957FDB"/>
    <w:rsid w:val="009613F1"/>
    <w:rsid w:val="00961B8D"/>
    <w:rsid w:val="0096201E"/>
    <w:rsid w:val="00962151"/>
    <w:rsid w:val="00962621"/>
    <w:rsid w:val="009635CC"/>
    <w:rsid w:val="009638B9"/>
    <w:rsid w:val="00963C65"/>
    <w:rsid w:val="009647E1"/>
    <w:rsid w:val="00964AAA"/>
    <w:rsid w:val="0096508D"/>
    <w:rsid w:val="0096564C"/>
    <w:rsid w:val="00966810"/>
    <w:rsid w:val="00966F42"/>
    <w:rsid w:val="00967437"/>
    <w:rsid w:val="00970394"/>
    <w:rsid w:val="0097101B"/>
    <w:rsid w:val="009713EE"/>
    <w:rsid w:val="00971700"/>
    <w:rsid w:val="009717F1"/>
    <w:rsid w:val="00971EA8"/>
    <w:rsid w:val="00971F72"/>
    <w:rsid w:val="00972568"/>
    <w:rsid w:val="00972AEF"/>
    <w:rsid w:val="00972B26"/>
    <w:rsid w:val="009740A7"/>
    <w:rsid w:val="00974922"/>
    <w:rsid w:val="00977D05"/>
    <w:rsid w:val="00977DEA"/>
    <w:rsid w:val="0098019D"/>
    <w:rsid w:val="009805E1"/>
    <w:rsid w:val="00980985"/>
    <w:rsid w:val="00981511"/>
    <w:rsid w:val="00981703"/>
    <w:rsid w:val="0098197B"/>
    <w:rsid w:val="0098199D"/>
    <w:rsid w:val="009843C6"/>
    <w:rsid w:val="00984BA2"/>
    <w:rsid w:val="00985F09"/>
    <w:rsid w:val="00985FA9"/>
    <w:rsid w:val="009860F5"/>
    <w:rsid w:val="0098639C"/>
    <w:rsid w:val="00986A90"/>
    <w:rsid w:val="00986EAB"/>
    <w:rsid w:val="00987676"/>
    <w:rsid w:val="0098780F"/>
    <w:rsid w:val="0099067B"/>
    <w:rsid w:val="00990EDC"/>
    <w:rsid w:val="009911B9"/>
    <w:rsid w:val="00992F8F"/>
    <w:rsid w:val="00992F9E"/>
    <w:rsid w:val="00992FCC"/>
    <w:rsid w:val="00995132"/>
    <w:rsid w:val="009967C5"/>
    <w:rsid w:val="00996BF4"/>
    <w:rsid w:val="00996FD5"/>
    <w:rsid w:val="00997634"/>
    <w:rsid w:val="00997D05"/>
    <w:rsid w:val="009A0150"/>
    <w:rsid w:val="009A0AB1"/>
    <w:rsid w:val="009A2745"/>
    <w:rsid w:val="009A3965"/>
    <w:rsid w:val="009A3ED4"/>
    <w:rsid w:val="009A4DB4"/>
    <w:rsid w:val="009A5A23"/>
    <w:rsid w:val="009A5E1A"/>
    <w:rsid w:val="009A652D"/>
    <w:rsid w:val="009A6CFF"/>
    <w:rsid w:val="009B03B8"/>
    <w:rsid w:val="009B0451"/>
    <w:rsid w:val="009B0C4A"/>
    <w:rsid w:val="009B1126"/>
    <w:rsid w:val="009B1D32"/>
    <w:rsid w:val="009B2556"/>
    <w:rsid w:val="009B2D83"/>
    <w:rsid w:val="009B3467"/>
    <w:rsid w:val="009B348A"/>
    <w:rsid w:val="009B3BAC"/>
    <w:rsid w:val="009B3CFD"/>
    <w:rsid w:val="009B4373"/>
    <w:rsid w:val="009B4415"/>
    <w:rsid w:val="009B4579"/>
    <w:rsid w:val="009B4922"/>
    <w:rsid w:val="009B4C6B"/>
    <w:rsid w:val="009B53DC"/>
    <w:rsid w:val="009B54DA"/>
    <w:rsid w:val="009B5B37"/>
    <w:rsid w:val="009B6EAD"/>
    <w:rsid w:val="009B72D4"/>
    <w:rsid w:val="009B7A26"/>
    <w:rsid w:val="009B7A39"/>
    <w:rsid w:val="009C1A36"/>
    <w:rsid w:val="009C1F06"/>
    <w:rsid w:val="009C22CF"/>
    <w:rsid w:val="009C277F"/>
    <w:rsid w:val="009C2C56"/>
    <w:rsid w:val="009C2E46"/>
    <w:rsid w:val="009C3BD8"/>
    <w:rsid w:val="009C3ED7"/>
    <w:rsid w:val="009C4961"/>
    <w:rsid w:val="009C4E94"/>
    <w:rsid w:val="009C4FAB"/>
    <w:rsid w:val="009C5C52"/>
    <w:rsid w:val="009C7ACF"/>
    <w:rsid w:val="009C7B41"/>
    <w:rsid w:val="009C7CAD"/>
    <w:rsid w:val="009D052D"/>
    <w:rsid w:val="009D0785"/>
    <w:rsid w:val="009D07D6"/>
    <w:rsid w:val="009D0891"/>
    <w:rsid w:val="009D11D3"/>
    <w:rsid w:val="009D1724"/>
    <w:rsid w:val="009D1835"/>
    <w:rsid w:val="009D2BAF"/>
    <w:rsid w:val="009D328A"/>
    <w:rsid w:val="009D4002"/>
    <w:rsid w:val="009D44DE"/>
    <w:rsid w:val="009D46D2"/>
    <w:rsid w:val="009D4DED"/>
    <w:rsid w:val="009D5554"/>
    <w:rsid w:val="009D5711"/>
    <w:rsid w:val="009D6107"/>
    <w:rsid w:val="009D695A"/>
    <w:rsid w:val="009D6CFA"/>
    <w:rsid w:val="009D6E17"/>
    <w:rsid w:val="009D6E25"/>
    <w:rsid w:val="009D6E93"/>
    <w:rsid w:val="009D6F56"/>
    <w:rsid w:val="009D71FC"/>
    <w:rsid w:val="009D77CB"/>
    <w:rsid w:val="009D78A0"/>
    <w:rsid w:val="009D7D89"/>
    <w:rsid w:val="009E08B6"/>
    <w:rsid w:val="009E0B69"/>
    <w:rsid w:val="009E0F72"/>
    <w:rsid w:val="009E16F2"/>
    <w:rsid w:val="009E1A27"/>
    <w:rsid w:val="009E1FC0"/>
    <w:rsid w:val="009E21A4"/>
    <w:rsid w:val="009E23AB"/>
    <w:rsid w:val="009E2520"/>
    <w:rsid w:val="009E34A6"/>
    <w:rsid w:val="009E3A27"/>
    <w:rsid w:val="009E3FDB"/>
    <w:rsid w:val="009E48B1"/>
    <w:rsid w:val="009E4989"/>
    <w:rsid w:val="009E4D46"/>
    <w:rsid w:val="009E5018"/>
    <w:rsid w:val="009E6538"/>
    <w:rsid w:val="009E77E7"/>
    <w:rsid w:val="009E7F2D"/>
    <w:rsid w:val="009F046D"/>
    <w:rsid w:val="009F0B6C"/>
    <w:rsid w:val="009F1A1C"/>
    <w:rsid w:val="009F1B5E"/>
    <w:rsid w:val="009F21ED"/>
    <w:rsid w:val="009F2336"/>
    <w:rsid w:val="009F2DE6"/>
    <w:rsid w:val="009F3536"/>
    <w:rsid w:val="009F3A18"/>
    <w:rsid w:val="009F4D56"/>
    <w:rsid w:val="009F5475"/>
    <w:rsid w:val="009F59DD"/>
    <w:rsid w:val="009F5AF0"/>
    <w:rsid w:val="009F70C2"/>
    <w:rsid w:val="009F7B12"/>
    <w:rsid w:val="00A0085C"/>
    <w:rsid w:val="00A00A91"/>
    <w:rsid w:val="00A010EC"/>
    <w:rsid w:val="00A017F1"/>
    <w:rsid w:val="00A022EA"/>
    <w:rsid w:val="00A02404"/>
    <w:rsid w:val="00A02710"/>
    <w:rsid w:val="00A02F20"/>
    <w:rsid w:val="00A03677"/>
    <w:rsid w:val="00A038DA"/>
    <w:rsid w:val="00A03B70"/>
    <w:rsid w:val="00A044FB"/>
    <w:rsid w:val="00A05138"/>
    <w:rsid w:val="00A05C66"/>
    <w:rsid w:val="00A060F5"/>
    <w:rsid w:val="00A06776"/>
    <w:rsid w:val="00A06F74"/>
    <w:rsid w:val="00A071A3"/>
    <w:rsid w:val="00A10046"/>
    <w:rsid w:val="00A10EB9"/>
    <w:rsid w:val="00A112D1"/>
    <w:rsid w:val="00A115B6"/>
    <w:rsid w:val="00A11CCB"/>
    <w:rsid w:val="00A12175"/>
    <w:rsid w:val="00A12654"/>
    <w:rsid w:val="00A129D1"/>
    <w:rsid w:val="00A13517"/>
    <w:rsid w:val="00A135FD"/>
    <w:rsid w:val="00A13765"/>
    <w:rsid w:val="00A13BD5"/>
    <w:rsid w:val="00A15322"/>
    <w:rsid w:val="00A1559E"/>
    <w:rsid w:val="00A1660E"/>
    <w:rsid w:val="00A16FB9"/>
    <w:rsid w:val="00A17140"/>
    <w:rsid w:val="00A1780E"/>
    <w:rsid w:val="00A178D2"/>
    <w:rsid w:val="00A17F44"/>
    <w:rsid w:val="00A17F83"/>
    <w:rsid w:val="00A217C4"/>
    <w:rsid w:val="00A21DC3"/>
    <w:rsid w:val="00A227B0"/>
    <w:rsid w:val="00A23120"/>
    <w:rsid w:val="00A23541"/>
    <w:rsid w:val="00A23B9F"/>
    <w:rsid w:val="00A2491E"/>
    <w:rsid w:val="00A24B03"/>
    <w:rsid w:val="00A254E5"/>
    <w:rsid w:val="00A26080"/>
    <w:rsid w:val="00A26ED1"/>
    <w:rsid w:val="00A270C9"/>
    <w:rsid w:val="00A276D5"/>
    <w:rsid w:val="00A2776D"/>
    <w:rsid w:val="00A2786B"/>
    <w:rsid w:val="00A27988"/>
    <w:rsid w:val="00A302E6"/>
    <w:rsid w:val="00A31AF1"/>
    <w:rsid w:val="00A32C79"/>
    <w:rsid w:val="00A33471"/>
    <w:rsid w:val="00A33901"/>
    <w:rsid w:val="00A34968"/>
    <w:rsid w:val="00A34C9A"/>
    <w:rsid w:val="00A358D2"/>
    <w:rsid w:val="00A35AB0"/>
    <w:rsid w:val="00A364EF"/>
    <w:rsid w:val="00A36B4F"/>
    <w:rsid w:val="00A36D9B"/>
    <w:rsid w:val="00A374AD"/>
    <w:rsid w:val="00A37C9A"/>
    <w:rsid w:val="00A404CD"/>
    <w:rsid w:val="00A406B1"/>
    <w:rsid w:val="00A416A6"/>
    <w:rsid w:val="00A41C81"/>
    <w:rsid w:val="00A42423"/>
    <w:rsid w:val="00A42518"/>
    <w:rsid w:val="00A42CCC"/>
    <w:rsid w:val="00A42F3D"/>
    <w:rsid w:val="00A44A2B"/>
    <w:rsid w:val="00A450FE"/>
    <w:rsid w:val="00A453AB"/>
    <w:rsid w:val="00A460D9"/>
    <w:rsid w:val="00A50484"/>
    <w:rsid w:val="00A508F6"/>
    <w:rsid w:val="00A514EB"/>
    <w:rsid w:val="00A51739"/>
    <w:rsid w:val="00A51C7E"/>
    <w:rsid w:val="00A52F43"/>
    <w:rsid w:val="00A5321E"/>
    <w:rsid w:val="00A53240"/>
    <w:rsid w:val="00A533FC"/>
    <w:rsid w:val="00A53AC6"/>
    <w:rsid w:val="00A53CB0"/>
    <w:rsid w:val="00A54461"/>
    <w:rsid w:val="00A54DBB"/>
    <w:rsid w:val="00A5547C"/>
    <w:rsid w:val="00A558FE"/>
    <w:rsid w:val="00A5648D"/>
    <w:rsid w:val="00A56AF5"/>
    <w:rsid w:val="00A56CBD"/>
    <w:rsid w:val="00A573D3"/>
    <w:rsid w:val="00A60075"/>
    <w:rsid w:val="00A60727"/>
    <w:rsid w:val="00A60B97"/>
    <w:rsid w:val="00A61DB5"/>
    <w:rsid w:val="00A61FEA"/>
    <w:rsid w:val="00A62A4A"/>
    <w:rsid w:val="00A630DB"/>
    <w:rsid w:val="00A630ED"/>
    <w:rsid w:val="00A63153"/>
    <w:rsid w:val="00A63822"/>
    <w:rsid w:val="00A63D16"/>
    <w:rsid w:val="00A63E32"/>
    <w:rsid w:val="00A643BD"/>
    <w:rsid w:val="00A6446A"/>
    <w:rsid w:val="00A65555"/>
    <w:rsid w:val="00A66497"/>
    <w:rsid w:val="00A669B9"/>
    <w:rsid w:val="00A670C0"/>
    <w:rsid w:val="00A67854"/>
    <w:rsid w:val="00A67862"/>
    <w:rsid w:val="00A67A59"/>
    <w:rsid w:val="00A67BE8"/>
    <w:rsid w:val="00A701C1"/>
    <w:rsid w:val="00A70600"/>
    <w:rsid w:val="00A709F7"/>
    <w:rsid w:val="00A70AD6"/>
    <w:rsid w:val="00A71453"/>
    <w:rsid w:val="00A717B2"/>
    <w:rsid w:val="00A71B48"/>
    <w:rsid w:val="00A71B9D"/>
    <w:rsid w:val="00A735C2"/>
    <w:rsid w:val="00A73893"/>
    <w:rsid w:val="00A73EFB"/>
    <w:rsid w:val="00A7422B"/>
    <w:rsid w:val="00A74423"/>
    <w:rsid w:val="00A74F7C"/>
    <w:rsid w:val="00A75D50"/>
    <w:rsid w:val="00A762E6"/>
    <w:rsid w:val="00A76E4E"/>
    <w:rsid w:val="00A77FE8"/>
    <w:rsid w:val="00A8068E"/>
    <w:rsid w:val="00A81074"/>
    <w:rsid w:val="00A8118D"/>
    <w:rsid w:val="00A82090"/>
    <w:rsid w:val="00A82384"/>
    <w:rsid w:val="00A8256C"/>
    <w:rsid w:val="00A82EA6"/>
    <w:rsid w:val="00A84A54"/>
    <w:rsid w:val="00A85B17"/>
    <w:rsid w:val="00A86D6F"/>
    <w:rsid w:val="00A86EBE"/>
    <w:rsid w:val="00A8758C"/>
    <w:rsid w:val="00A90BCD"/>
    <w:rsid w:val="00A90C1C"/>
    <w:rsid w:val="00A9192A"/>
    <w:rsid w:val="00A91CE0"/>
    <w:rsid w:val="00A92320"/>
    <w:rsid w:val="00A92660"/>
    <w:rsid w:val="00A9292E"/>
    <w:rsid w:val="00A94567"/>
    <w:rsid w:val="00A94904"/>
    <w:rsid w:val="00A94AB5"/>
    <w:rsid w:val="00A94D29"/>
    <w:rsid w:val="00A95239"/>
    <w:rsid w:val="00A95A68"/>
    <w:rsid w:val="00A9637C"/>
    <w:rsid w:val="00A9642F"/>
    <w:rsid w:val="00A9754B"/>
    <w:rsid w:val="00A977C8"/>
    <w:rsid w:val="00AA0907"/>
    <w:rsid w:val="00AA09A8"/>
    <w:rsid w:val="00AA0FB8"/>
    <w:rsid w:val="00AA2499"/>
    <w:rsid w:val="00AA3278"/>
    <w:rsid w:val="00AA4A9E"/>
    <w:rsid w:val="00AA5045"/>
    <w:rsid w:val="00AA5465"/>
    <w:rsid w:val="00AA6CED"/>
    <w:rsid w:val="00AB058D"/>
    <w:rsid w:val="00AB1274"/>
    <w:rsid w:val="00AB1908"/>
    <w:rsid w:val="00AB1AA9"/>
    <w:rsid w:val="00AB1AB4"/>
    <w:rsid w:val="00AB1FBA"/>
    <w:rsid w:val="00AB2E87"/>
    <w:rsid w:val="00AB2E96"/>
    <w:rsid w:val="00AB35A9"/>
    <w:rsid w:val="00AB37FB"/>
    <w:rsid w:val="00AB3A88"/>
    <w:rsid w:val="00AB3DCE"/>
    <w:rsid w:val="00AB49AC"/>
    <w:rsid w:val="00AB597D"/>
    <w:rsid w:val="00AB6929"/>
    <w:rsid w:val="00AC1940"/>
    <w:rsid w:val="00AC1ECE"/>
    <w:rsid w:val="00AC1FDE"/>
    <w:rsid w:val="00AC31D1"/>
    <w:rsid w:val="00AC3540"/>
    <w:rsid w:val="00AC35DC"/>
    <w:rsid w:val="00AC43C8"/>
    <w:rsid w:val="00AC4529"/>
    <w:rsid w:val="00AC5A8A"/>
    <w:rsid w:val="00AC5B38"/>
    <w:rsid w:val="00AC5D74"/>
    <w:rsid w:val="00AC5EA5"/>
    <w:rsid w:val="00AC6082"/>
    <w:rsid w:val="00AC633F"/>
    <w:rsid w:val="00AC6EFF"/>
    <w:rsid w:val="00AC7783"/>
    <w:rsid w:val="00AC7D5C"/>
    <w:rsid w:val="00AD01F8"/>
    <w:rsid w:val="00AD0B75"/>
    <w:rsid w:val="00AD14DA"/>
    <w:rsid w:val="00AD3DF5"/>
    <w:rsid w:val="00AD40BC"/>
    <w:rsid w:val="00AD5B94"/>
    <w:rsid w:val="00AD6953"/>
    <w:rsid w:val="00AD7901"/>
    <w:rsid w:val="00AD7F8A"/>
    <w:rsid w:val="00AE0837"/>
    <w:rsid w:val="00AE0E55"/>
    <w:rsid w:val="00AE10E3"/>
    <w:rsid w:val="00AE14F4"/>
    <w:rsid w:val="00AE1758"/>
    <w:rsid w:val="00AE2D90"/>
    <w:rsid w:val="00AE3CE0"/>
    <w:rsid w:val="00AE5128"/>
    <w:rsid w:val="00AE532C"/>
    <w:rsid w:val="00AE535C"/>
    <w:rsid w:val="00AE590F"/>
    <w:rsid w:val="00AE6017"/>
    <w:rsid w:val="00AE6643"/>
    <w:rsid w:val="00AE6D38"/>
    <w:rsid w:val="00AE6DCC"/>
    <w:rsid w:val="00AE72C7"/>
    <w:rsid w:val="00AE7DD4"/>
    <w:rsid w:val="00AF00C3"/>
    <w:rsid w:val="00AF0FA1"/>
    <w:rsid w:val="00AF189A"/>
    <w:rsid w:val="00AF20C3"/>
    <w:rsid w:val="00AF24D6"/>
    <w:rsid w:val="00AF26B4"/>
    <w:rsid w:val="00AF2A9A"/>
    <w:rsid w:val="00AF2BD1"/>
    <w:rsid w:val="00AF3647"/>
    <w:rsid w:val="00AF37A9"/>
    <w:rsid w:val="00AF3ADE"/>
    <w:rsid w:val="00AF4A71"/>
    <w:rsid w:val="00AF4B8A"/>
    <w:rsid w:val="00AF4EB4"/>
    <w:rsid w:val="00AF5546"/>
    <w:rsid w:val="00AF5D00"/>
    <w:rsid w:val="00AF5D72"/>
    <w:rsid w:val="00AF61A6"/>
    <w:rsid w:val="00AF61EC"/>
    <w:rsid w:val="00AF64A1"/>
    <w:rsid w:val="00AF6612"/>
    <w:rsid w:val="00AF68F0"/>
    <w:rsid w:val="00AF6AE6"/>
    <w:rsid w:val="00AF6FD7"/>
    <w:rsid w:val="00AF7152"/>
    <w:rsid w:val="00AF73F1"/>
    <w:rsid w:val="00AF7BB0"/>
    <w:rsid w:val="00AF7EB7"/>
    <w:rsid w:val="00B0028C"/>
    <w:rsid w:val="00B010D6"/>
    <w:rsid w:val="00B01A99"/>
    <w:rsid w:val="00B02136"/>
    <w:rsid w:val="00B036F4"/>
    <w:rsid w:val="00B038F6"/>
    <w:rsid w:val="00B03C32"/>
    <w:rsid w:val="00B03ED7"/>
    <w:rsid w:val="00B04587"/>
    <w:rsid w:val="00B047A0"/>
    <w:rsid w:val="00B047B1"/>
    <w:rsid w:val="00B05EC2"/>
    <w:rsid w:val="00B065BF"/>
    <w:rsid w:val="00B0672A"/>
    <w:rsid w:val="00B0776D"/>
    <w:rsid w:val="00B07B4A"/>
    <w:rsid w:val="00B07C22"/>
    <w:rsid w:val="00B07F12"/>
    <w:rsid w:val="00B1054E"/>
    <w:rsid w:val="00B1134D"/>
    <w:rsid w:val="00B119DE"/>
    <w:rsid w:val="00B11A93"/>
    <w:rsid w:val="00B14338"/>
    <w:rsid w:val="00B14612"/>
    <w:rsid w:val="00B149F3"/>
    <w:rsid w:val="00B16624"/>
    <w:rsid w:val="00B16B50"/>
    <w:rsid w:val="00B1793D"/>
    <w:rsid w:val="00B200C4"/>
    <w:rsid w:val="00B208ED"/>
    <w:rsid w:val="00B21A0F"/>
    <w:rsid w:val="00B21EA8"/>
    <w:rsid w:val="00B2225C"/>
    <w:rsid w:val="00B229D7"/>
    <w:rsid w:val="00B2328D"/>
    <w:rsid w:val="00B23CB8"/>
    <w:rsid w:val="00B24129"/>
    <w:rsid w:val="00B2419A"/>
    <w:rsid w:val="00B24D4E"/>
    <w:rsid w:val="00B25ACC"/>
    <w:rsid w:val="00B260F4"/>
    <w:rsid w:val="00B2621F"/>
    <w:rsid w:val="00B263AC"/>
    <w:rsid w:val="00B26408"/>
    <w:rsid w:val="00B27961"/>
    <w:rsid w:val="00B27B47"/>
    <w:rsid w:val="00B30109"/>
    <w:rsid w:val="00B30A3D"/>
    <w:rsid w:val="00B31B87"/>
    <w:rsid w:val="00B32230"/>
    <w:rsid w:val="00B32313"/>
    <w:rsid w:val="00B32B32"/>
    <w:rsid w:val="00B35B3D"/>
    <w:rsid w:val="00B37D81"/>
    <w:rsid w:val="00B401B2"/>
    <w:rsid w:val="00B401BE"/>
    <w:rsid w:val="00B409ED"/>
    <w:rsid w:val="00B41686"/>
    <w:rsid w:val="00B425B5"/>
    <w:rsid w:val="00B42607"/>
    <w:rsid w:val="00B427EE"/>
    <w:rsid w:val="00B42F98"/>
    <w:rsid w:val="00B42FE0"/>
    <w:rsid w:val="00B431F7"/>
    <w:rsid w:val="00B43938"/>
    <w:rsid w:val="00B44497"/>
    <w:rsid w:val="00B446E4"/>
    <w:rsid w:val="00B44704"/>
    <w:rsid w:val="00B44E4C"/>
    <w:rsid w:val="00B44F90"/>
    <w:rsid w:val="00B45348"/>
    <w:rsid w:val="00B45356"/>
    <w:rsid w:val="00B455DE"/>
    <w:rsid w:val="00B45DBE"/>
    <w:rsid w:val="00B4770C"/>
    <w:rsid w:val="00B4785C"/>
    <w:rsid w:val="00B47AB9"/>
    <w:rsid w:val="00B47DF7"/>
    <w:rsid w:val="00B510A2"/>
    <w:rsid w:val="00B511D5"/>
    <w:rsid w:val="00B51383"/>
    <w:rsid w:val="00B51A26"/>
    <w:rsid w:val="00B52B7A"/>
    <w:rsid w:val="00B5329D"/>
    <w:rsid w:val="00B53346"/>
    <w:rsid w:val="00B53A79"/>
    <w:rsid w:val="00B53AFE"/>
    <w:rsid w:val="00B5425D"/>
    <w:rsid w:val="00B5457D"/>
    <w:rsid w:val="00B54CCB"/>
    <w:rsid w:val="00B551D0"/>
    <w:rsid w:val="00B5545C"/>
    <w:rsid w:val="00B55648"/>
    <w:rsid w:val="00B56EA7"/>
    <w:rsid w:val="00B5774E"/>
    <w:rsid w:val="00B57CFF"/>
    <w:rsid w:val="00B60543"/>
    <w:rsid w:val="00B60811"/>
    <w:rsid w:val="00B60CF0"/>
    <w:rsid w:val="00B60EBE"/>
    <w:rsid w:val="00B61122"/>
    <w:rsid w:val="00B6141C"/>
    <w:rsid w:val="00B616AF"/>
    <w:rsid w:val="00B61AB3"/>
    <w:rsid w:val="00B61B53"/>
    <w:rsid w:val="00B61B7E"/>
    <w:rsid w:val="00B632DE"/>
    <w:rsid w:val="00B63BE7"/>
    <w:rsid w:val="00B63D3D"/>
    <w:rsid w:val="00B63F62"/>
    <w:rsid w:val="00B6441F"/>
    <w:rsid w:val="00B645DB"/>
    <w:rsid w:val="00B64607"/>
    <w:rsid w:val="00B65076"/>
    <w:rsid w:val="00B6559D"/>
    <w:rsid w:val="00B655E2"/>
    <w:rsid w:val="00B65B30"/>
    <w:rsid w:val="00B65E30"/>
    <w:rsid w:val="00B66D39"/>
    <w:rsid w:val="00B66DCF"/>
    <w:rsid w:val="00B67208"/>
    <w:rsid w:val="00B67C65"/>
    <w:rsid w:val="00B7069A"/>
    <w:rsid w:val="00B71635"/>
    <w:rsid w:val="00B71A05"/>
    <w:rsid w:val="00B727B3"/>
    <w:rsid w:val="00B73744"/>
    <w:rsid w:val="00B737C0"/>
    <w:rsid w:val="00B740E3"/>
    <w:rsid w:val="00B744DE"/>
    <w:rsid w:val="00B7595F"/>
    <w:rsid w:val="00B76248"/>
    <w:rsid w:val="00B76B1A"/>
    <w:rsid w:val="00B77786"/>
    <w:rsid w:val="00B8112A"/>
    <w:rsid w:val="00B8131F"/>
    <w:rsid w:val="00B81646"/>
    <w:rsid w:val="00B81EA5"/>
    <w:rsid w:val="00B830CB"/>
    <w:rsid w:val="00B83839"/>
    <w:rsid w:val="00B83A18"/>
    <w:rsid w:val="00B83DBC"/>
    <w:rsid w:val="00B8431B"/>
    <w:rsid w:val="00B84C29"/>
    <w:rsid w:val="00B853E0"/>
    <w:rsid w:val="00B8665C"/>
    <w:rsid w:val="00B86DFD"/>
    <w:rsid w:val="00B87357"/>
    <w:rsid w:val="00B874EA"/>
    <w:rsid w:val="00B900F9"/>
    <w:rsid w:val="00B90352"/>
    <w:rsid w:val="00B90B40"/>
    <w:rsid w:val="00B912AD"/>
    <w:rsid w:val="00B912F6"/>
    <w:rsid w:val="00B92B78"/>
    <w:rsid w:val="00B92D2A"/>
    <w:rsid w:val="00B95A7F"/>
    <w:rsid w:val="00B96607"/>
    <w:rsid w:val="00B96BAD"/>
    <w:rsid w:val="00B97509"/>
    <w:rsid w:val="00B9756D"/>
    <w:rsid w:val="00B97931"/>
    <w:rsid w:val="00BA0D86"/>
    <w:rsid w:val="00BA1F8A"/>
    <w:rsid w:val="00BA298C"/>
    <w:rsid w:val="00BA29BF"/>
    <w:rsid w:val="00BA3A53"/>
    <w:rsid w:val="00BA3BBF"/>
    <w:rsid w:val="00BA40C7"/>
    <w:rsid w:val="00BA4987"/>
    <w:rsid w:val="00BA5A89"/>
    <w:rsid w:val="00BA65C9"/>
    <w:rsid w:val="00BB0208"/>
    <w:rsid w:val="00BB04C6"/>
    <w:rsid w:val="00BB07D3"/>
    <w:rsid w:val="00BB07DE"/>
    <w:rsid w:val="00BB104C"/>
    <w:rsid w:val="00BB416E"/>
    <w:rsid w:val="00BB50CF"/>
    <w:rsid w:val="00BB52CB"/>
    <w:rsid w:val="00BB69AC"/>
    <w:rsid w:val="00BB7724"/>
    <w:rsid w:val="00BB772F"/>
    <w:rsid w:val="00BC001F"/>
    <w:rsid w:val="00BC04E1"/>
    <w:rsid w:val="00BC07EC"/>
    <w:rsid w:val="00BC127C"/>
    <w:rsid w:val="00BC1F6A"/>
    <w:rsid w:val="00BC2A4F"/>
    <w:rsid w:val="00BC2C36"/>
    <w:rsid w:val="00BC30DC"/>
    <w:rsid w:val="00BC37D9"/>
    <w:rsid w:val="00BC4DCD"/>
    <w:rsid w:val="00BC59BE"/>
    <w:rsid w:val="00BC6785"/>
    <w:rsid w:val="00BC6D90"/>
    <w:rsid w:val="00BC75E9"/>
    <w:rsid w:val="00BD00BD"/>
    <w:rsid w:val="00BD0606"/>
    <w:rsid w:val="00BD1CD0"/>
    <w:rsid w:val="00BD20B4"/>
    <w:rsid w:val="00BD21A2"/>
    <w:rsid w:val="00BD21D4"/>
    <w:rsid w:val="00BD2801"/>
    <w:rsid w:val="00BD2A0D"/>
    <w:rsid w:val="00BD4167"/>
    <w:rsid w:val="00BD45D0"/>
    <w:rsid w:val="00BD4E1A"/>
    <w:rsid w:val="00BD563D"/>
    <w:rsid w:val="00BD6298"/>
    <w:rsid w:val="00BD6C1D"/>
    <w:rsid w:val="00BD6F74"/>
    <w:rsid w:val="00BD77FF"/>
    <w:rsid w:val="00BD7A45"/>
    <w:rsid w:val="00BE145F"/>
    <w:rsid w:val="00BE26AC"/>
    <w:rsid w:val="00BE26B9"/>
    <w:rsid w:val="00BE4E5F"/>
    <w:rsid w:val="00BE509D"/>
    <w:rsid w:val="00BE5612"/>
    <w:rsid w:val="00BE5846"/>
    <w:rsid w:val="00BE5F72"/>
    <w:rsid w:val="00BE6556"/>
    <w:rsid w:val="00BE688E"/>
    <w:rsid w:val="00BE708F"/>
    <w:rsid w:val="00BE779C"/>
    <w:rsid w:val="00BE79F6"/>
    <w:rsid w:val="00BF011E"/>
    <w:rsid w:val="00BF0311"/>
    <w:rsid w:val="00BF0468"/>
    <w:rsid w:val="00BF1390"/>
    <w:rsid w:val="00BF178D"/>
    <w:rsid w:val="00BF1A44"/>
    <w:rsid w:val="00BF206D"/>
    <w:rsid w:val="00BF2153"/>
    <w:rsid w:val="00BF350E"/>
    <w:rsid w:val="00BF3E4D"/>
    <w:rsid w:val="00BF4A52"/>
    <w:rsid w:val="00BF5604"/>
    <w:rsid w:val="00BF6592"/>
    <w:rsid w:val="00BF7907"/>
    <w:rsid w:val="00C01059"/>
    <w:rsid w:val="00C01A4E"/>
    <w:rsid w:val="00C02945"/>
    <w:rsid w:val="00C03B5C"/>
    <w:rsid w:val="00C055F9"/>
    <w:rsid w:val="00C0564A"/>
    <w:rsid w:val="00C05CDD"/>
    <w:rsid w:val="00C07368"/>
    <w:rsid w:val="00C0798B"/>
    <w:rsid w:val="00C07F3D"/>
    <w:rsid w:val="00C107EF"/>
    <w:rsid w:val="00C118A0"/>
    <w:rsid w:val="00C11B0F"/>
    <w:rsid w:val="00C11E40"/>
    <w:rsid w:val="00C120DD"/>
    <w:rsid w:val="00C12795"/>
    <w:rsid w:val="00C12A66"/>
    <w:rsid w:val="00C12C46"/>
    <w:rsid w:val="00C12DB0"/>
    <w:rsid w:val="00C12F2A"/>
    <w:rsid w:val="00C13DE4"/>
    <w:rsid w:val="00C14F26"/>
    <w:rsid w:val="00C16E48"/>
    <w:rsid w:val="00C16E6E"/>
    <w:rsid w:val="00C17A0E"/>
    <w:rsid w:val="00C2070B"/>
    <w:rsid w:val="00C2116B"/>
    <w:rsid w:val="00C2195C"/>
    <w:rsid w:val="00C22476"/>
    <w:rsid w:val="00C229C5"/>
    <w:rsid w:val="00C23EB5"/>
    <w:rsid w:val="00C23EC3"/>
    <w:rsid w:val="00C24348"/>
    <w:rsid w:val="00C24C50"/>
    <w:rsid w:val="00C24F2B"/>
    <w:rsid w:val="00C25058"/>
    <w:rsid w:val="00C250C1"/>
    <w:rsid w:val="00C25B1E"/>
    <w:rsid w:val="00C25BAB"/>
    <w:rsid w:val="00C3048A"/>
    <w:rsid w:val="00C31709"/>
    <w:rsid w:val="00C32E9E"/>
    <w:rsid w:val="00C332FF"/>
    <w:rsid w:val="00C33B84"/>
    <w:rsid w:val="00C33F9D"/>
    <w:rsid w:val="00C34234"/>
    <w:rsid w:val="00C342BB"/>
    <w:rsid w:val="00C34337"/>
    <w:rsid w:val="00C3469B"/>
    <w:rsid w:val="00C35B21"/>
    <w:rsid w:val="00C36104"/>
    <w:rsid w:val="00C36E70"/>
    <w:rsid w:val="00C3724E"/>
    <w:rsid w:val="00C37255"/>
    <w:rsid w:val="00C403F2"/>
    <w:rsid w:val="00C40745"/>
    <w:rsid w:val="00C413ED"/>
    <w:rsid w:val="00C4207E"/>
    <w:rsid w:val="00C426E0"/>
    <w:rsid w:val="00C42C4A"/>
    <w:rsid w:val="00C42C7D"/>
    <w:rsid w:val="00C43327"/>
    <w:rsid w:val="00C4473D"/>
    <w:rsid w:val="00C461CD"/>
    <w:rsid w:val="00C463FE"/>
    <w:rsid w:val="00C46C4F"/>
    <w:rsid w:val="00C46D60"/>
    <w:rsid w:val="00C47501"/>
    <w:rsid w:val="00C47A73"/>
    <w:rsid w:val="00C505FE"/>
    <w:rsid w:val="00C50C85"/>
    <w:rsid w:val="00C50E30"/>
    <w:rsid w:val="00C517F9"/>
    <w:rsid w:val="00C51C50"/>
    <w:rsid w:val="00C51E1F"/>
    <w:rsid w:val="00C52B24"/>
    <w:rsid w:val="00C5435E"/>
    <w:rsid w:val="00C546AC"/>
    <w:rsid w:val="00C54713"/>
    <w:rsid w:val="00C54762"/>
    <w:rsid w:val="00C55398"/>
    <w:rsid w:val="00C602FA"/>
    <w:rsid w:val="00C60965"/>
    <w:rsid w:val="00C60D56"/>
    <w:rsid w:val="00C620B0"/>
    <w:rsid w:val="00C6280A"/>
    <w:rsid w:val="00C62A15"/>
    <w:rsid w:val="00C62B34"/>
    <w:rsid w:val="00C62E71"/>
    <w:rsid w:val="00C6382A"/>
    <w:rsid w:val="00C63FE0"/>
    <w:rsid w:val="00C64144"/>
    <w:rsid w:val="00C6416C"/>
    <w:rsid w:val="00C6416D"/>
    <w:rsid w:val="00C64E3A"/>
    <w:rsid w:val="00C65190"/>
    <w:rsid w:val="00C670B6"/>
    <w:rsid w:val="00C671EF"/>
    <w:rsid w:val="00C67D8E"/>
    <w:rsid w:val="00C705C0"/>
    <w:rsid w:val="00C7135D"/>
    <w:rsid w:val="00C73115"/>
    <w:rsid w:val="00C738A9"/>
    <w:rsid w:val="00C74BC3"/>
    <w:rsid w:val="00C758B7"/>
    <w:rsid w:val="00C75C49"/>
    <w:rsid w:val="00C75FEB"/>
    <w:rsid w:val="00C766DD"/>
    <w:rsid w:val="00C76C25"/>
    <w:rsid w:val="00C77395"/>
    <w:rsid w:val="00C77B29"/>
    <w:rsid w:val="00C80B12"/>
    <w:rsid w:val="00C820FE"/>
    <w:rsid w:val="00C82106"/>
    <w:rsid w:val="00C83932"/>
    <w:rsid w:val="00C84047"/>
    <w:rsid w:val="00C84562"/>
    <w:rsid w:val="00C8464B"/>
    <w:rsid w:val="00C85A6C"/>
    <w:rsid w:val="00C86216"/>
    <w:rsid w:val="00C86868"/>
    <w:rsid w:val="00C869C8"/>
    <w:rsid w:val="00C90826"/>
    <w:rsid w:val="00C90BB3"/>
    <w:rsid w:val="00C91A6F"/>
    <w:rsid w:val="00C91B85"/>
    <w:rsid w:val="00C93AD1"/>
    <w:rsid w:val="00C93C21"/>
    <w:rsid w:val="00C94203"/>
    <w:rsid w:val="00C9437C"/>
    <w:rsid w:val="00C951BB"/>
    <w:rsid w:val="00C9587C"/>
    <w:rsid w:val="00C95883"/>
    <w:rsid w:val="00C95CBC"/>
    <w:rsid w:val="00C963B5"/>
    <w:rsid w:val="00C965B8"/>
    <w:rsid w:val="00C96C8E"/>
    <w:rsid w:val="00C97290"/>
    <w:rsid w:val="00C978E7"/>
    <w:rsid w:val="00CA0B48"/>
    <w:rsid w:val="00CA1AFF"/>
    <w:rsid w:val="00CA1EA9"/>
    <w:rsid w:val="00CA201F"/>
    <w:rsid w:val="00CA24E4"/>
    <w:rsid w:val="00CA2551"/>
    <w:rsid w:val="00CA2E00"/>
    <w:rsid w:val="00CA2E78"/>
    <w:rsid w:val="00CA2FDE"/>
    <w:rsid w:val="00CA3307"/>
    <w:rsid w:val="00CA3377"/>
    <w:rsid w:val="00CA3C9E"/>
    <w:rsid w:val="00CA3FD5"/>
    <w:rsid w:val="00CA4DAC"/>
    <w:rsid w:val="00CA5D54"/>
    <w:rsid w:val="00CA655A"/>
    <w:rsid w:val="00CA6D49"/>
    <w:rsid w:val="00CA6F85"/>
    <w:rsid w:val="00CA731E"/>
    <w:rsid w:val="00CA784B"/>
    <w:rsid w:val="00CB0D4D"/>
    <w:rsid w:val="00CB0DAB"/>
    <w:rsid w:val="00CB0F33"/>
    <w:rsid w:val="00CB1247"/>
    <w:rsid w:val="00CB1FFA"/>
    <w:rsid w:val="00CB261B"/>
    <w:rsid w:val="00CB2A76"/>
    <w:rsid w:val="00CB2C5A"/>
    <w:rsid w:val="00CB2C69"/>
    <w:rsid w:val="00CB33BA"/>
    <w:rsid w:val="00CB3492"/>
    <w:rsid w:val="00CB48FD"/>
    <w:rsid w:val="00CB4D03"/>
    <w:rsid w:val="00CB4E11"/>
    <w:rsid w:val="00CB5FA6"/>
    <w:rsid w:val="00CB6C10"/>
    <w:rsid w:val="00CB6C51"/>
    <w:rsid w:val="00CB6C72"/>
    <w:rsid w:val="00CB6ED1"/>
    <w:rsid w:val="00CC0556"/>
    <w:rsid w:val="00CC062D"/>
    <w:rsid w:val="00CC1021"/>
    <w:rsid w:val="00CC12E5"/>
    <w:rsid w:val="00CC1624"/>
    <w:rsid w:val="00CC1BCA"/>
    <w:rsid w:val="00CC3AC1"/>
    <w:rsid w:val="00CC3EE6"/>
    <w:rsid w:val="00CC4870"/>
    <w:rsid w:val="00CC5355"/>
    <w:rsid w:val="00CC5866"/>
    <w:rsid w:val="00CC643B"/>
    <w:rsid w:val="00CC64E4"/>
    <w:rsid w:val="00CC674C"/>
    <w:rsid w:val="00CC7950"/>
    <w:rsid w:val="00CC7A9E"/>
    <w:rsid w:val="00CC7F40"/>
    <w:rsid w:val="00CC7FB7"/>
    <w:rsid w:val="00CD0640"/>
    <w:rsid w:val="00CD09D9"/>
    <w:rsid w:val="00CD16F1"/>
    <w:rsid w:val="00CD1FE9"/>
    <w:rsid w:val="00CD249F"/>
    <w:rsid w:val="00CD3AE8"/>
    <w:rsid w:val="00CD52F2"/>
    <w:rsid w:val="00CD563F"/>
    <w:rsid w:val="00CD628F"/>
    <w:rsid w:val="00CD6953"/>
    <w:rsid w:val="00CD6B8D"/>
    <w:rsid w:val="00CD74F7"/>
    <w:rsid w:val="00CD75ED"/>
    <w:rsid w:val="00CE0998"/>
    <w:rsid w:val="00CE17E4"/>
    <w:rsid w:val="00CE183D"/>
    <w:rsid w:val="00CE19C8"/>
    <w:rsid w:val="00CE1A4C"/>
    <w:rsid w:val="00CE2261"/>
    <w:rsid w:val="00CE262D"/>
    <w:rsid w:val="00CE2C99"/>
    <w:rsid w:val="00CE516D"/>
    <w:rsid w:val="00CE532A"/>
    <w:rsid w:val="00CE5F3C"/>
    <w:rsid w:val="00CE6D05"/>
    <w:rsid w:val="00CE7365"/>
    <w:rsid w:val="00CF06ED"/>
    <w:rsid w:val="00CF1297"/>
    <w:rsid w:val="00CF1298"/>
    <w:rsid w:val="00CF49D1"/>
    <w:rsid w:val="00CF5C68"/>
    <w:rsid w:val="00CF6F14"/>
    <w:rsid w:val="00D002E7"/>
    <w:rsid w:val="00D00A3C"/>
    <w:rsid w:val="00D00AB8"/>
    <w:rsid w:val="00D029DB"/>
    <w:rsid w:val="00D03527"/>
    <w:rsid w:val="00D03CE1"/>
    <w:rsid w:val="00D043F6"/>
    <w:rsid w:val="00D04585"/>
    <w:rsid w:val="00D04695"/>
    <w:rsid w:val="00D046F6"/>
    <w:rsid w:val="00D055E7"/>
    <w:rsid w:val="00D05735"/>
    <w:rsid w:val="00D06AB6"/>
    <w:rsid w:val="00D06DC8"/>
    <w:rsid w:val="00D0745B"/>
    <w:rsid w:val="00D07BF5"/>
    <w:rsid w:val="00D10856"/>
    <w:rsid w:val="00D10938"/>
    <w:rsid w:val="00D11898"/>
    <w:rsid w:val="00D12912"/>
    <w:rsid w:val="00D12A0C"/>
    <w:rsid w:val="00D12FF7"/>
    <w:rsid w:val="00D13906"/>
    <w:rsid w:val="00D14204"/>
    <w:rsid w:val="00D14E17"/>
    <w:rsid w:val="00D1537A"/>
    <w:rsid w:val="00D15A27"/>
    <w:rsid w:val="00D1676E"/>
    <w:rsid w:val="00D16C65"/>
    <w:rsid w:val="00D17F66"/>
    <w:rsid w:val="00D200B6"/>
    <w:rsid w:val="00D2030C"/>
    <w:rsid w:val="00D20DFC"/>
    <w:rsid w:val="00D2324C"/>
    <w:rsid w:val="00D234D9"/>
    <w:rsid w:val="00D23680"/>
    <w:rsid w:val="00D23C99"/>
    <w:rsid w:val="00D25822"/>
    <w:rsid w:val="00D25C19"/>
    <w:rsid w:val="00D26253"/>
    <w:rsid w:val="00D26330"/>
    <w:rsid w:val="00D2644E"/>
    <w:rsid w:val="00D26633"/>
    <w:rsid w:val="00D26B4E"/>
    <w:rsid w:val="00D26D90"/>
    <w:rsid w:val="00D2748D"/>
    <w:rsid w:val="00D2774D"/>
    <w:rsid w:val="00D27BD6"/>
    <w:rsid w:val="00D30AB3"/>
    <w:rsid w:val="00D30C06"/>
    <w:rsid w:val="00D30EB1"/>
    <w:rsid w:val="00D30FAB"/>
    <w:rsid w:val="00D31CF4"/>
    <w:rsid w:val="00D332C8"/>
    <w:rsid w:val="00D332EF"/>
    <w:rsid w:val="00D33415"/>
    <w:rsid w:val="00D337E8"/>
    <w:rsid w:val="00D3449C"/>
    <w:rsid w:val="00D3449E"/>
    <w:rsid w:val="00D345CC"/>
    <w:rsid w:val="00D34815"/>
    <w:rsid w:val="00D34DF4"/>
    <w:rsid w:val="00D3580A"/>
    <w:rsid w:val="00D36598"/>
    <w:rsid w:val="00D365E1"/>
    <w:rsid w:val="00D36DA7"/>
    <w:rsid w:val="00D370D1"/>
    <w:rsid w:val="00D37336"/>
    <w:rsid w:val="00D40B7C"/>
    <w:rsid w:val="00D4113D"/>
    <w:rsid w:val="00D41474"/>
    <w:rsid w:val="00D41DBB"/>
    <w:rsid w:val="00D42186"/>
    <w:rsid w:val="00D42AC1"/>
    <w:rsid w:val="00D42B12"/>
    <w:rsid w:val="00D42E6A"/>
    <w:rsid w:val="00D435D5"/>
    <w:rsid w:val="00D442C8"/>
    <w:rsid w:val="00D4455E"/>
    <w:rsid w:val="00D44F0D"/>
    <w:rsid w:val="00D45A55"/>
    <w:rsid w:val="00D468B5"/>
    <w:rsid w:val="00D46970"/>
    <w:rsid w:val="00D46C0D"/>
    <w:rsid w:val="00D46E2A"/>
    <w:rsid w:val="00D479F0"/>
    <w:rsid w:val="00D47B37"/>
    <w:rsid w:val="00D51398"/>
    <w:rsid w:val="00D51A39"/>
    <w:rsid w:val="00D52E8E"/>
    <w:rsid w:val="00D53053"/>
    <w:rsid w:val="00D53416"/>
    <w:rsid w:val="00D539AE"/>
    <w:rsid w:val="00D53B6B"/>
    <w:rsid w:val="00D545B6"/>
    <w:rsid w:val="00D545DD"/>
    <w:rsid w:val="00D54F4A"/>
    <w:rsid w:val="00D5529C"/>
    <w:rsid w:val="00D55739"/>
    <w:rsid w:val="00D558DE"/>
    <w:rsid w:val="00D55902"/>
    <w:rsid w:val="00D55F45"/>
    <w:rsid w:val="00D5686B"/>
    <w:rsid w:val="00D60093"/>
    <w:rsid w:val="00D60371"/>
    <w:rsid w:val="00D60E65"/>
    <w:rsid w:val="00D611EE"/>
    <w:rsid w:val="00D61A09"/>
    <w:rsid w:val="00D61A43"/>
    <w:rsid w:val="00D622AD"/>
    <w:rsid w:val="00D62882"/>
    <w:rsid w:val="00D634D1"/>
    <w:rsid w:val="00D637D9"/>
    <w:rsid w:val="00D637FC"/>
    <w:rsid w:val="00D639E4"/>
    <w:rsid w:val="00D647A1"/>
    <w:rsid w:val="00D652B9"/>
    <w:rsid w:val="00D661D4"/>
    <w:rsid w:val="00D665B7"/>
    <w:rsid w:val="00D671AC"/>
    <w:rsid w:val="00D67579"/>
    <w:rsid w:val="00D6783A"/>
    <w:rsid w:val="00D701F3"/>
    <w:rsid w:val="00D713C5"/>
    <w:rsid w:val="00D7316D"/>
    <w:rsid w:val="00D73258"/>
    <w:rsid w:val="00D732D3"/>
    <w:rsid w:val="00D734AA"/>
    <w:rsid w:val="00D7460D"/>
    <w:rsid w:val="00D746AE"/>
    <w:rsid w:val="00D74935"/>
    <w:rsid w:val="00D7595B"/>
    <w:rsid w:val="00D7664A"/>
    <w:rsid w:val="00D76F6D"/>
    <w:rsid w:val="00D8052F"/>
    <w:rsid w:val="00D805FC"/>
    <w:rsid w:val="00D80F12"/>
    <w:rsid w:val="00D818E0"/>
    <w:rsid w:val="00D81A46"/>
    <w:rsid w:val="00D81F02"/>
    <w:rsid w:val="00D81FC1"/>
    <w:rsid w:val="00D821AA"/>
    <w:rsid w:val="00D827FE"/>
    <w:rsid w:val="00D82AAF"/>
    <w:rsid w:val="00D82ADD"/>
    <w:rsid w:val="00D82F84"/>
    <w:rsid w:val="00D833CD"/>
    <w:rsid w:val="00D83BD7"/>
    <w:rsid w:val="00D84838"/>
    <w:rsid w:val="00D84E58"/>
    <w:rsid w:val="00D85956"/>
    <w:rsid w:val="00D86B01"/>
    <w:rsid w:val="00D87814"/>
    <w:rsid w:val="00D87974"/>
    <w:rsid w:val="00D87F7E"/>
    <w:rsid w:val="00D90722"/>
    <w:rsid w:val="00D90CC1"/>
    <w:rsid w:val="00D9103B"/>
    <w:rsid w:val="00D91550"/>
    <w:rsid w:val="00D91F58"/>
    <w:rsid w:val="00D929C8"/>
    <w:rsid w:val="00D92ADE"/>
    <w:rsid w:val="00D9303C"/>
    <w:rsid w:val="00D9390D"/>
    <w:rsid w:val="00D93DE8"/>
    <w:rsid w:val="00D9411D"/>
    <w:rsid w:val="00D94D6A"/>
    <w:rsid w:val="00D94DD6"/>
    <w:rsid w:val="00D94E27"/>
    <w:rsid w:val="00D95A49"/>
    <w:rsid w:val="00D95F4A"/>
    <w:rsid w:val="00D960B1"/>
    <w:rsid w:val="00D966A3"/>
    <w:rsid w:val="00D97492"/>
    <w:rsid w:val="00D97FDA"/>
    <w:rsid w:val="00DA01B6"/>
    <w:rsid w:val="00DA02D5"/>
    <w:rsid w:val="00DA078E"/>
    <w:rsid w:val="00DA0F40"/>
    <w:rsid w:val="00DA128A"/>
    <w:rsid w:val="00DA1738"/>
    <w:rsid w:val="00DA255D"/>
    <w:rsid w:val="00DA2CCD"/>
    <w:rsid w:val="00DA35D7"/>
    <w:rsid w:val="00DA3FC3"/>
    <w:rsid w:val="00DA5661"/>
    <w:rsid w:val="00DA6733"/>
    <w:rsid w:val="00DA771F"/>
    <w:rsid w:val="00DB0383"/>
    <w:rsid w:val="00DB06E8"/>
    <w:rsid w:val="00DB085B"/>
    <w:rsid w:val="00DB0D5C"/>
    <w:rsid w:val="00DB158C"/>
    <w:rsid w:val="00DB1DA1"/>
    <w:rsid w:val="00DB2BCA"/>
    <w:rsid w:val="00DB2C94"/>
    <w:rsid w:val="00DB2D16"/>
    <w:rsid w:val="00DB3588"/>
    <w:rsid w:val="00DB4D29"/>
    <w:rsid w:val="00DB50DE"/>
    <w:rsid w:val="00DB65B4"/>
    <w:rsid w:val="00DB65FA"/>
    <w:rsid w:val="00DB72E1"/>
    <w:rsid w:val="00DB7C78"/>
    <w:rsid w:val="00DC136E"/>
    <w:rsid w:val="00DC1D85"/>
    <w:rsid w:val="00DC2BC8"/>
    <w:rsid w:val="00DC3722"/>
    <w:rsid w:val="00DC39D8"/>
    <w:rsid w:val="00DC4267"/>
    <w:rsid w:val="00DC4719"/>
    <w:rsid w:val="00DC473B"/>
    <w:rsid w:val="00DC550C"/>
    <w:rsid w:val="00DC57BD"/>
    <w:rsid w:val="00DC6F07"/>
    <w:rsid w:val="00DC731A"/>
    <w:rsid w:val="00DC79D5"/>
    <w:rsid w:val="00DC7E2B"/>
    <w:rsid w:val="00DC7EC7"/>
    <w:rsid w:val="00DD4A99"/>
    <w:rsid w:val="00DD6C9D"/>
    <w:rsid w:val="00DD721B"/>
    <w:rsid w:val="00DE04AB"/>
    <w:rsid w:val="00DE1064"/>
    <w:rsid w:val="00DE275B"/>
    <w:rsid w:val="00DE2BA7"/>
    <w:rsid w:val="00DE32B0"/>
    <w:rsid w:val="00DE3474"/>
    <w:rsid w:val="00DE3E3F"/>
    <w:rsid w:val="00DE4413"/>
    <w:rsid w:val="00DE523F"/>
    <w:rsid w:val="00DE53BE"/>
    <w:rsid w:val="00DE67E1"/>
    <w:rsid w:val="00DE7A82"/>
    <w:rsid w:val="00DF006C"/>
    <w:rsid w:val="00DF00C6"/>
    <w:rsid w:val="00DF0134"/>
    <w:rsid w:val="00DF0E3D"/>
    <w:rsid w:val="00DF122E"/>
    <w:rsid w:val="00DF139D"/>
    <w:rsid w:val="00DF1516"/>
    <w:rsid w:val="00DF1B75"/>
    <w:rsid w:val="00DF2B34"/>
    <w:rsid w:val="00DF34EA"/>
    <w:rsid w:val="00DF3AF9"/>
    <w:rsid w:val="00DF5161"/>
    <w:rsid w:val="00DF5429"/>
    <w:rsid w:val="00DF5ABF"/>
    <w:rsid w:val="00DF5DE8"/>
    <w:rsid w:val="00DF5E5A"/>
    <w:rsid w:val="00DF5E6C"/>
    <w:rsid w:val="00DF5EC9"/>
    <w:rsid w:val="00DF60EC"/>
    <w:rsid w:val="00DF62B9"/>
    <w:rsid w:val="00DF70ED"/>
    <w:rsid w:val="00E012CC"/>
    <w:rsid w:val="00E01D80"/>
    <w:rsid w:val="00E02226"/>
    <w:rsid w:val="00E037D4"/>
    <w:rsid w:val="00E03BFB"/>
    <w:rsid w:val="00E03C6C"/>
    <w:rsid w:val="00E04B10"/>
    <w:rsid w:val="00E04FB6"/>
    <w:rsid w:val="00E05015"/>
    <w:rsid w:val="00E05C08"/>
    <w:rsid w:val="00E05DBD"/>
    <w:rsid w:val="00E06513"/>
    <w:rsid w:val="00E076AE"/>
    <w:rsid w:val="00E07ECA"/>
    <w:rsid w:val="00E10DE5"/>
    <w:rsid w:val="00E10E0B"/>
    <w:rsid w:val="00E1144A"/>
    <w:rsid w:val="00E1175A"/>
    <w:rsid w:val="00E136A8"/>
    <w:rsid w:val="00E13F2F"/>
    <w:rsid w:val="00E1438F"/>
    <w:rsid w:val="00E144E5"/>
    <w:rsid w:val="00E150AB"/>
    <w:rsid w:val="00E157EC"/>
    <w:rsid w:val="00E1616B"/>
    <w:rsid w:val="00E16542"/>
    <w:rsid w:val="00E16DDA"/>
    <w:rsid w:val="00E17347"/>
    <w:rsid w:val="00E173B2"/>
    <w:rsid w:val="00E174DF"/>
    <w:rsid w:val="00E2010C"/>
    <w:rsid w:val="00E2109E"/>
    <w:rsid w:val="00E214EA"/>
    <w:rsid w:val="00E215A7"/>
    <w:rsid w:val="00E21E2A"/>
    <w:rsid w:val="00E22D53"/>
    <w:rsid w:val="00E22DE2"/>
    <w:rsid w:val="00E23255"/>
    <w:rsid w:val="00E2357C"/>
    <w:rsid w:val="00E24244"/>
    <w:rsid w:val="00E2470A"/>
    <w:rsid w:val="00E24A6C"/>
    <w:rsid w:val="00E265CC"/>
    <w:rsid w:val="00E2701D"/>
    <w:rsid w:val="00E27164"/>
    <w:rsid w:val="00E2733A"/>
    <w:rsid w:val="00E2771B"/>
    <w:rsid w:val="00E305D4"/>
    <w:rsid w:val="00E30C4F"/>
    <w:rsid w:val="00E31E39"/>
    <w:rsid w:val="00E32907"/>
    <w:rsid w:val="00E32CCB"/>
    <w:rsid w:val="00E32D95"/>
    <w:rsid w:val="00E32DF8"/>
    <w:rsid w:val="00E33156"/>
    <w:rsid w:val="00E35FD0"/>
    <w:rsid w:val="00E3656A"/>
    <w:rsid w:val="00E3677E"/>
    <w:rsid w:val="00E36A64"/>
    <w:rsid w:val="00E37002"/>
    <w:rsid w:val="00E3764A"/>
    <w:rsid w:val="00E377AB"/>
    <w:rsid w:val="00E40934"/>
    <w:rsid w:val="00E40C21"/>
    <w:rsid w:val="00E4365E"/>
    <w:rsid w:val="00E43FA7"/>
    <w:rsid w:val="00E44E9A"/>
    <w:rsid w:val="00E45001"/>
    <w:rsid w:val="00E45260"/>
    <w:rsid w:val="00E461A6"/>
    <w:rsid w:val="00E4671E"/>
    <w:rsid w:val="00E46AD1"/>
    <w:rsid w:val="00E47529"/>
    <w:rsid w:val="00E47EF3"/>
    <w:rsid w:val="00E50354"/>
    <w:rsid w:val="00E50989"/>
    <w:rsid w:val="00E50AC8"/>
    <w:rsid w:val="00E517A2"/>
    <w:rsid w:val="00E51C26"/>
    <w:rsid w:val="00E51E9C"/>
    <w:rsid w:val="00E53701"/>
    <w:rsid w:val="00E53C16"/>
    <w:rsid w:val="00E54EB0"/>
    <w:rsid w:val="00E5570F"/>
    <w:rsid w:val="00E55B9C"/>
    <w:rsid w:val="00E56068"/>
    <w:rsid w:val="00E561B6"/>
    <w:rsid w:val="00E56662"/>
    <w:rsid w:val="00E578B4"/>
    <w:rsid w:val="00E60D98"/>
    <w:rsid w:val="00E6186F"/>
    <w:rsid w:val="00E62338"/>
    <w:rsid w:val="00E62F5C"/>
    <w:rsid w:val="00E6313E"/>
    <w:rsid w:val="00E63B52"/>
    <w:rsid w:val="00E640A9"/>
    <w:rsid w:val="00E6489E"/>
    <w:rsid w:val="00E657ED"/>
    <w:rsid w:val="00E65E48"/>
    <w:rsid w:val="00E667E0"/>
    <w:rsid w:val="00E711BB"/>
    <w:rsid w:val="00E7272C"/>
    <w:rsid w:val="00E72CCD"/>
    <w:rsid w:val="00E732FF"/>
    <w:rsid w:val="00E73478"/>
    <w:rsid w:val="00E740DD"/>
    <w:rsid w:val="00E74DAE"/>
    <w:rsid w:val="00E752BA"/>
    <w:rsid w:val="00E802DC"/>
    <w:rsid w:val="00E81268"/>
    <w:rsid w:val="00E82486"/>
    <w:rsid w:val="00E826B2"/>
    <w:rsid w:val="00E8300C"/>
    <w:rsid w:val="00E8347B"/>
    <w:rsid w:val="00E83CBB"/>
    <w:rsid w:val="00E840B5"/>
    <w:rsid w:val="00E8441E"/>
    <w:rsid w:val="00E851C2"/>
    <w:rsid w:val="00E860A4"/>
    <w:rsid w:val="00E86876"/>
    <w:rsid w:val="00E86B39"/>
    <w:rsid w:val="00E90212"/>
    <w:rsid w:val="00E906DB"/>
    <w:rsid w:val="00E90835"/>
    <w:rsid w:val="00E90DED"/>
    <w:rsid w:val="00E924C2"/>
    <w:rsid w:val="00E934E5"/>
    <w:rsid w:val="00E938D6"/>
    <w:rsid w:val="00E93AA9"/>
    <w:rsid w:val="00E946AF"/>
    <w:rsid w:val="00E94B6B"/>
    <w:rsid w:val="00E95307"/>
    <w:rsid w:val="00E95401"/>
    <w:rsid w:val="00E95B55"/>
    <w:rsid w:val="00E95F90"/>
    <w:rsid w:val="00E9605E"/>
    <w:rsid w:val="00E971E0"/>
    <w:rsid w:val="00E97732"/>
    <w:rsid w:val="00EA0297"/>
    <w:rsid w:val="00EA0723"/>
    <w:rsid w:val="00EA080C"/>
    <w:rsid w:val="00EA1BFA"/>
    <w:rsid w:val="00EA2D22"/>
    <w:rsid w:val="00EA2E61"/>
    <w:rsid w:val="00EA3B8D"/>
    <w:rsid w:val="00EA3DFB"/>
    <w:rsid w:val="00EA4473"/>
    <w:rsid w:val="00EA4D5A"/>
    <w:rsid w:val="00EA4E54"/>
    <w:rsid w:val="00EA4EAF"/>
    <w:rsid w:val="00EA61EF"/>
    <w:rsid w:val="00EA63DA"/>
    <w:rsid w:val="00EB0B5E"/>
    <w:rsid w:val="00EB13FF"/>
    <w:rsid w:val="00EB21A4"/>
    <w:rsid w:val="00EB2587"/>
    <w:rsid w:val="00EB2795"/>
    <w:rsid w:val="00EB28CF"/>
    <w:rsid w:val="00EB2AF3"/>
    <w:rsid w:val="00EB2F36"/>
    <w:rsid w:val="00EB3AD3"/>
    <w:rsid w:val="00EB6682"/>
    <w:rsid w:val="00EB72A0"/>
    <w:rsid w:val="00EB7C4E"/>
    <w:rsid w:val="00EC05B4"/>
    <w:rsid w:val="00EC0EEB"/>
    <w:rsid w:val="00EC1E91"/>
    <w:rsid w:val="00EC1FC7"/>
    <w:rsid w:val="00EC2640"/>
    <w:rsid w:val="00EC28E7"/>
    <w:rsid w:val="00EC2A5B"/>
    <w:rsid w:val="00EC30AC"/>
    <w:rsid w:val="00EC30BF"/>
    <w:rsid w:val="00EC32CD"/>
    <w:rsid w:val="00EC3B95"/>
    <w:rsid w:val="00EC5366"/>
    <w:rsid w:val="00EC5499"/>
    <w:rsid w:val="00EC56C2"/>
    <w:rsid w:val="00EC599C"/>
    <w:rsid w:val="00EC5E3A"/>
    <w:rsid w:val="00EC602C"/>
    <w:rsid w:val="00EC6D81"/>
    <w:rsid w:val="00EC7119"/>
    <w:rsid w:val="00EC732B"/>
    <w:rsid w:val="00EC760D"/>
    <w:rsid w:val="00ED01D8"/>
    <w:rsid w:val="00ED0220"/>
    <w:rsid w:val="00ED0828"/>
    <w:rsid w:val="00ED17CE"/>
    <w:rsid w:val="00ED1D3D"/>
    <w:rsid w:val="00ED2EEA"/>
    <w:rsid w:val="00ED361D"/>
    <w:rsid w:val="00ED38F0"/>
    <w:rsid w:val="00ED3D02"/>
    <w:rsid w:val="00ED437B"/>
    <w:rsid w:val="00ED509B"/>
    <w:rsid w:val="00ED5B79"/>
    <w:rsid w:val="00ED5CC5"/>
    <w:rsid w:val="00ED63D1"/>
    <w:rsid w:val="00ED6A37"/>
    <w:rsid w:val="00ED6B12"/>
    <w:rsid w:val="00ED7FBB"/>
    <w:rsid w:val="00EE0156"/>
    <w:rsid w:val="00EE0A4F"/>
    <w:rsid w:val="00EE0CC8"/>
    <w:rsid w:val="00EE0F4B"/>
    <w:rsid w:val="00EE12FF"/>
    <w:rsid w:val="00EE139E"/>
    <w:rsid w:val="00EE186D"/>
    <w:rsid w:val="00EE1883"/>
    <w:rsid w:val="00EE1B52"/>
    <w:rsid w:val="00EE1E61"/>
    <w:rsid w:val="00EE2850"/>
    <w:rsid w:val="00EE2CB8"/>
    <w:rsid w:val="00EE3876"/>
    <w:rsid w:val="00EE3C20"/>
    <w:rsid w:val="00EE3E8B"/>
    <w:rsid w:val="00EE400E"/>
    <w:rsid w:val="00EE5D81"/>
    <w:rsid w:val="00EE5E4A"/>
    <w:rsid w:val="00EE72A5"/>
    <w:rsid w:val="00EE7F22"/>
    <w:rsid w:val="00EF0314"/>
    <w:rsid w:val="00EF0A34"/>
    <w:rsid w:val="00EF1029"/>
    <w:rsid w:val="00EF17AE"/>
    <w:rsid w:val="00EF1B4C"/>
    <w:rsid w:val="00EF2160"/>
    <w:rsid w:val="00EF22F8"/>
    <w:rsid w:val="00EF23BE"/>
    <w:rsid w:val="00EF377A"/>
    <w:rsid w:val="00EF3C69"/>
    <w:rsid w:val="00EF435C"/>
    <w:rsid w:val="00EF4B5C"/>
    <w:rsid w:val="00EF5127"/>
    <w:rsid w:val="00EF6A46"/>
    <w:rsid w:val="00EF6B9B"/>
    <w:rsid w:val="00EF701F"/>
    <w:rsid w:val="00EF72B2"/>
    <w:rsid w:val="00EF7B94"/>
    <w:rsid w:val="00EF7C03"/>
    <w:rsid w:val="00F01216"/>
    <w:rsid w:val="00F01482"/>
    <w:rsid w:val="00F01F37"/>
    <w:rsid w:val="00F02D0C"/>
    <w:rsid w:val="00F02E29"/>
    <w:rsid w:val="00F044C3"/>
    <w:rsid w:val="00F04F6A"/>
    <w:rsid w:val="00F05D0E"/>
    <w:rsid w:val="00F06159"/>
    <w:rsid w:val="00F066D3"/>
    <w:rsid w:val="00F0732B"/>
    <w:rsid w:val="00F07560"/>
    <w:rsid w:val="00F0778F"/>
    <w:rsid w:val="00F07FA2"/>
    <w:rsid w:val="00F10ADD"/>
    <w:rsid w:val="00F10EA2"/>
    <w:rsid w:val="00F114FB"/>
    <w:rsid w:val="00F11D0E"/>
    <w:rsid w:val="00F1370B"/>
    <w:rsid w:val="00F1471F"/>
    <w:rsid w:val="00F14788"/>
    <w:rsid w:val="00F148E9"/>
    <w:rsid w:val="00F1528F"/>
    <w:rsid w:val="00F1632C"/>
    <w:rsid w:val="00F1649C"/>
    <w:rsid w:val="00F178C2"/>
    <w:rsid w:val="00F17959"/>
    <w:rsid w:val="00F17D2E"/>
    <w:rsid w:val="00F204C7"/>
    <w:rsid w:val="00F223B0"/>
    <w:rsid w:val="00F22C29"/>
    <w:rsid w:val="00F22FDF"/>
    <w:rsid w:val="00F235C0"/>
    <w:rsid w:val="00F23B1B"/>
    <w:rsid w:val="00F245CC"/>
    <w:rsid w:val="00F24949"/>
    <w:rsid w:val="00F2550D"/>
    <w:rsid w:val="00F2610B"/>
    <w:rsid w:val="00F2668D"/>
    <w:rsid w:val="00F26833"/>
    <w:rsid w:val="00F26FF2"/>
    <w:rsid w:val="00F2719E"/>
    <w:rsid w:val="00F27475"/>
    <w:rsid w:val="00F30388"/>
    <w:rsid w:val="00F31487"/>
    <w:rsid w:val="00F31C66"/>
    <w:rsid w:val="00F31D51"/>
    <w:rsid w:val="00F31F16"/>
    <w:rsid w:val="00F31FE1"/>
    <w:rsid w:val="00F32F2C"/>
    <w:rsid w:val="00F3340E"/>
    <w:rsid w:val="00F338CD"/>
    <w:rsid w:val="00F33E4F"/>
    <w:rsid w:val="00F34602"/>
    <w:rsid w:val="00F3513C"/>
    <w:rsid w:val="00F35852"/>
    <w:rsid w:val="00F358C0"/>
    <w:rsid w:val="00F35FC4"/>
    <w:rsid w:val="00F36510"/>
    <w:rsid w:val="00F3673C"/>
    <w:rsid w:val="00F367D0"/>
    <w:rsid w:val="00F36CB8"/>
    <w:rsid w:val="00F371C9"/>
    <w:rsid w:val="00F37262"/>
    <w:rsid w:val="00F403B1"/>
    <w:rsid w:val="00F40429"/>
    <w:rsid w:val="00F408D1"/>
    <w:rsid w:val="00F40B35"/>
    <w:rsid w:val="00F40BE2"/>
    <w:rsid w:val="00F41130"/>
    <w:rsid w:val="00F419FF"/>
    <w:rsid w:val="00F41FB5"/>
    <w:rsid w:val="00F42B14"/>
    <w:rsid w:val="00F42D9D"/>
    <w:rsid w:val="00F43041"/>
    <w:rsid w:val="00F43FAF"/>
    <w:rsid w:val="00F44157"/>
    <w:rsid w:val="00F44381"/>
    <w:rsid w:val="00F44B99"/>
    <w:rsid w:val="00F44BC4"/>
    <w:rsid w:val="00F44C15"/>
    <w:rsid w:val="00F468F5"/>
    <w:rsid w:val="00F46FAA"/>
    <w:rsid w:val="00F4780A"/>
    <w:rsid w:val="00F47F9A"/>
    <w:rsid w:val="00F50776"/>
    <w:rsid w:val="00F5123B"/>
    <w:rsid w:val="00F516EA"/>
    <w:rsid w:val="00F51E09"/>
    <w:rsid w:val="00F526E4"/>
    <w:rsid w:val="00F52BD7"/>
    <w:rsid w:val="00F53202"/>
    <w:rsid w:val="00F53F84"/>
    <w:rsid w:val="00F53FC4"/>
    <w:rsid w:val="00F54D53"/>
    <w:rsid w:val="00F55091"/>
    <w:rsid w:val="00F55D56"/>
    <w:rsid w:val="00F5645C"/>
    <w:rsid w:val="00F56DC6"/>
    <w:rsid w:val="00F5707D"/>
    <w:rsid w:val="00F57203"/>
    <w:rsid w:val="00F578A9"/>
    <w:rsid w:val="00F61617"/>
    <w:rsid w:val="00F61980"/>
    <w:rsid w:val="00F62281"/>
    <w:rsid w:val="00F62547"/>
    <w:rsid w:val="00F62C6F"/>
    <w:rsid w:val="00F62D9B"/>
    <w:rsid w:val="00F6323F"/>
    <w:rsid w:val="00F6331B"/>
    <w:rsid w:val="00F64B9D"/>
    <w:rsid w:val="00F64D09"/>
    <w:rsid w:val="00F64DBB"/>
    <w:rsid w:val="00F65037"/>
    <w:rsid w:val="00F654F6"/>
    <w:rsid w:val="00F6645F"/>
    <w:rsid w:val="00F66820"/>
    <w:rsid w:val="00F66EAF"/>
    <w:rsid w:val="00F671F3"/>
    <w:rsid w:val="00F674DF"/>
    <w:rsid w:val="00F71105"/>
    <w:rsid w:val="00F740BF"/>
    <w:rsid w:val="00F745B2"/>
    <w:rsid w:val="00F74781"/>
    <w:rsid w:val="00F7478E"/>
    <w:rsid w:val="00F7479E"/>
    <w:rsid w:val="00F76540"/>
    <w:rsid w:val="00F76B9F"/>
    <w:rsid w:val="00F77548"/>
    <w:rsid w:val="00F77AC3"/>
    <w:rsid w:val="00F80665"/>
    <w:rsid w:val="00F80B5F"/>
    <w:rsid w:val="00F80E5A"/>
    <w:rsid w:val="00F811D8"/>
    <w:rsid w:val="00F8130D"/>
    <w:rsid w:val="00F81528"/>
    <w:rsid w:val="00F8161A"/>
    <w:rsid w:val="00F81922"/>
    <w:rsid w:val="00F82740"/>
    <w:rsid w:val="00F8355F"/>
    <w:rsid w:val="00F83751"/>
    <w:rsid w:val="00F83BDC"/>
    <w:rsid w:val="00F85E50"/>
    <w:rsid w:val="00F86C8C"/>
    <w:rsid w:val="00F87003"/>
    <w:rsid w:val="00F903F5"/>
    <w:rsid w:val="00F909A6"/>
    <w:rsid w:val="00F91BF5"/>
    <w:rsid w:val="00F91DC8"/>
    <w:rsid w:val="00F92463"/>
    <w:rsid w:val="00F93021"/>
    <w:rsid w:val="00F938F5"/>
    <w:rsid w:val="00F94BED"/>
    <w:rsid w:val="00F94C69"/>
    <w:rsid w:val="00F950D2"/>
    <w:rsid w:val="00F95132"/>
    <w:rsid w:val="00F955E4"/>
    <w:rsid w:val="00F96784"/>
    <w:rsid w:val="00F96C15"/>
    <w:rsid w:val="00F96FAD"/>
    <w:rsid w:val="00FA0F89"/>
    <w:rsid w:val="00FA13FE"/>
    <w:rsid w:val="00FA1BDB"/>
    <w:rsid w:val="00FA1FE0"/>
    <w:rsid w:val="00FA2357"/>
    <w:rsid w:val="00FA2A72"/>
    <w:rsid w:val="00FA2A79"/>
    <w:rsid w:val="00FA32CF"/>
    <w:rsid w:val="00FA3F97"/>
    <w:rsid w:val="00FA4331"/>
    <w:rsid w:val="00FA4B9E"/>
    <w:rsid w:val="00FA5AEB"/>
    <w:rsid w:val="00FA6937"/>
    <w:rsid w:val="00FA786F"/>
    <w:rsid w:val="00FA7A23"/>
    <w:rsid w:val="00FA7AAA"/>
    <w:rsid w:val="00FB038D"/>
    <w:rsid w:val="00FB118D"/>
    <w:rsid w:val="00FB167B"/>
    <w:rsid w:val="00FB1DC7"/>
    <w:rsid w:val="00FB1F26"/>
    <w:rsid w:val="00FB20C1"/>
    <w:rsid w:val="00FB220E"/>
    <w:rsid w:val="00FB2497"/>
    <w:rsid w:val="00FB2B72"/>
    <w:rsid w:val="00FB2F86"/>
    <w:rsid w:val="00FB35B5"/>
    <w:rsid w:val="00FB38E5"/>
    <w:rsid w:val="00FB394C"/>
    <w:rsid w:val="00FB3DDE"/>
    <w:rsid w:val="00FB4294"/>
    <w:rsid w:val="00FB45EB"/>
    <w:rsid w:val="00FB4F3A"/>
    <w:rsid w:val="00FB588D"/>
    <w:rsid w:val="00FB58A0"/>
    <w:rsid w:val="00FB59EF"/>
    <w:rsid w:val="00FB6927"/>
    <w:rsid w:val="00FB6D1F"/>
    <w:rsid w:val="00FB6DF9"/>
    <w:rsid w:val="00FB7B2A"/>
    <w:rsid w:val="00FC01B7"/>
    <w:rsid w:val="00FC2365"/>
    <w:rsid w:val="00FC238F"/>
    <w:rsid w:val="00FC23C9"/>
    <w:rsid w:val="00FC2682"/>
    <w:rsid w:val="00FC2F26"/>
    <w:rsid w:val="00FC3855"/>
    <w:rsid w:val="00FC3863"/>
    <w:rsid w:val="00FC38B2"/>
    <w:rsid w:val="00FC3F0C"/>
    <w:rsid w:val="00FC4C3D"/>
    <w:rsid w:val="00FC5547"/>
    <w:rsid w:val="00FC5B50"/>
    <w:rsid w:val="00FC5FC4"/>
    <w:rsid w:val="00FC635A"/>
    <w:rsid w:val="00FC6D3A"/>
    <w:rsid w:val="00FC75A2"/>
    <w:rsid w:val="00FC784B"/>
    <w:rsid w:val="00FD140E"/>
    <w:rsid w:val="00FD17E3"/>
    <w:rsid w:val="00FD1F81"/>
    <w:rsid w:val="00FD3193"/>
    <w:rsid w:val="00FD3974"/>
    <w:rsid w:val="00FD5050"/>
    <w:rsid w:val="00FD52F4"/>
    <w:rsid w:val="00FD5A76"/>
    <w:rsid w:val="00FD5E78"/>
    <w:rsid w:val="00FD63C9"/>
    <w:rsid w:val="00FD6A81"/>
    <w:rsid w:val="00FD6BA0"/>
    <w:rsid w:val="00FD6BAA"/>
    <w:rsid w:val="00FD760A"/>
    <w:rsid w:val="00FE0455"/>
    <w:rsid w:val="00FE0758"/>
    <w:rsid w:val="00FE09E2"/>
    <w:rsid w:val="00FE162D"/>
    <w:rsid w:val="00FE1AA2"/>
    <w:rsid w:val="00FE2097"/>
    <w:rsid w:val="00FE225B"/>
    <w:rsid w:val="00FE275A"/>
    <w:rsid w:val="00FE2F67"/>
    <w:rsid w:val="00FE3504"/>
    <w:rsid w:val="00FE3660"/>
    <w:rsid w:val="00FE3973"/>
    <w:rsid w:val="00FE49BD"/>
    <w:rsid w:val="00FE5360"/>
    <w:rsid w:val="00FE6925"/>
    <w:rsid w:val="00FE6C1E"/>
    <w:rsid w:val="00FE71E5"/>
    <w:rsid w:val="00FE7389"/>
    <w:rsid w:val="00FE770F"/>
    <w:rsid w:val="00FE78F9"/>
    <w:rsid w:val="00FF0154"/>
    <w:rsid w:val="00FF084E"/>
    <w:rsid w:val="00FF094C"/>
    <w:rsid w:val="00FF0BB9"/>
    <w:rsid w:val="00FF219D"/>
    <w:rsid w:val="00FF2380"/>
    <w:rsid w:val="00FF251C"/>
    <w:rsid w:val="00FF2CA0"/>
    <w:rsid w:val="00FF2D6E"/>
    <w:rsid w:val="00FF2F7F"/>
    <w:rsid w:val="00FF3A45"/>
    <w:rsid w:val="00FF4204"/>
    <w:rsid w:val="00FF4ABE"/>
    <w:rsid w:val="00FF4AF5"/>
    <w:rsid w:val="00FF5594"/>
    <w:rsid w:val="00FF57C9"/>
    <w:rsid w:val="00FF57FE"/>
    <w:rsid w:val="00FF6495"/>
    <w:rsid w:val="00FF6C20"/>
    <w:rsid w:val="00FF6C75"/>
    <w:rsid w:val="00FF77ED"/>
    <w:rsid w:val="00FF7EB2"/>
    <w:rsid w:val="01052888"/>
    <w:rsid w:val="010655B1"/>
    <w:rsid w:val="010C0939"/>
    <w:rsid w:val="011F2984"/>
    <w:rsid w:val="01315F1E"/>
    <w:rsid w:val="013D3366"/>
    <w:rsid w:val="016866EF"/>
    <w:rsid w:val="016B6502"/>
    <w:rsid w:val="016E6229"/>
    <w:rsid w:val="017658CA"/>
    <w:rsid w:val="01777D9B"/>
    <w:rsid w:val="017806C2"/>
    <w:rsid w:val="019A4E7E"/>
    <w:rsid w:val="01A504DA"/>
    <w:rsid w:val="01B575F5"/>
    <w:rsid w:val="01C06EDE"/>
    <w:rsid w:val="01D71AB7"/>
    <w:rsid w:val="01E65009"/>
    <w:rsid w:val="01EC591C"/>
    <w:rsid w:val="01F25B86"/>
    <w:rsid w:val="01F57092"/>
    <w:rsid w:val="01F70DA4"/>
    <w:rsid w:val="021E450E"/>
    <w:rsid w:val="02337CAE"/>
    <w:rsid w:val="023B77EE"/>
    <w:rsid w:val="02461C8C"/>
    <w:rsid w:val="02465083"/>
    <w:rsid w:val="02550631"/>
    <w:rsid w:val="02674E9F"/>
    <w:rsid w:val="0271036B"/>
    <w:rsid w:val="02944CDA"/>
    <w:rsid w:val="029E716B"/>
    <w:rsid w:val="02B06183"/>
    <w:rsid w:val="02BD77D5"/>
    <w:rsid w:val="02C17A4F"/>
    <w:rsid w:val="02CE14D6"/>
    <w:rsid w:val="02D65F2C"/>
    <w:rsid w:val="02E91610"/>
    <w:rsid w:val="02ED222F"/>
    <w:rsid w:val="02F80E0E"/>
    <w:rsid w:val="030069F5"/>
    <w:rsid w:val="0327688A"/>
    <w:rsid w:val="03281475"/>
    <w:rsid w:val="032F03DF"/>
    <w:rsid w:val="033163AF"/>
    <w:rsid w:val="0332481B"/>
    <w:rsid w:val="034179CE"/>
    <w:rsid w:val="034A1B69"/>
    <w:rsid w:val="034C22C5"/>
    <w:rsid w:val="0359046F"/>
    <w:rsid w:val="035B6AFD"/>
    <w:rsid w:val="0364499D"/>
    <w:rsid w:val="037342E3"/>
    <w:rsid w:val="037736D9"/>
    <w:rsid w:val="03781533"/>
    <w:rsid w:val="037A6292"/>
    <w:rsid w:val="037C1636"/>
    <w:rsid w:val="038167EE"/>
    <w:rsid w:val="03970B69"/>
    <w:rsid w:val="03B172CB"/>
    <w:rsid w:val="03CF7FDA"/>
    <w:rsid w:val="03D15510"/>
    <w:rsid w:val="03D83907"/>
    <w:rsid w:val="03DD09E6"/>
    <w:rsid w:val="03E73E81"/>
    <w:rsid w:val="03EF48B9"/>
    <w:rsid w:val="04054D02"/>
    <w:rsid w:val="040B4B03"/>
    <w:rsid w:val="041B0B9F"/>
    <w:rsid w:val="04730F76"/>
    <w:rsid w:val="047F7A51"/>
    <w:rsid w:val="048C4288"/>
    <w:rsid w:val="049C1DFC"/>
    <w:rsid w:val="04AA3657"/>
    <w:rsid w:val="04BC79A8"/>
    <w:rsid w:val="04C04951"/>
    <w:rsid w:val="04D331CA"/>
    <w:rsid w:val="04E3168D"/>
    <w:rsid w:val="04F44B13"/>
    <w:rsid w:val="04F66B20"/>
    <w:rsid w:val="05017A62"/>
    <w:rsid w:val="05060D9B"/>
    <w:rsid w:val="05066146"/>
    <w:rsid w:val="0509467E"/>
    <w:rsid w:val="050E3165"/>
    <w:rsid w:val="051F0981"/>
    <w:rsid w:val="05262D0E"/>
    <w:rsid w:val="05383010"/>
    <w:rsid w:val="053A391E"/>
    <w:rsid w:val="053E0928"/>
    <w:rsid w:val="05530A3A"/>
    <w:rsid w:val="05674BC7"/>
    <w:rsid w:val="057724AE"/>
    <w:rsid w:val="057B2A1A"/>
    <w:rsid w:val="05832A7B"/>
    <w:rsid w:val="05855FBA"/>
    <w:rsid w:val="05884C25"/>
    <w:rsid w:val="059554BC"/>
    <w:rsid w:val="05A017D2"/>
    <w:rsid w:val="05CA33B4"/>
    <w:rsid w:val="05CC1C2D"/>
    <w:rsid w:val="05CC3370"/>
    <w:rsid w:val="05D50746"/>
    <w:rsid w:val="05D70247"/>
    <w:rsid w:val="05EC39E4"/>
    <w:rsid w:val="05F31D39"/>
    <w:rsid w:val="05FE4BD6"/>
    <w:rsid w:val="06205697"/>
    <w:rsid w:val="062D2792"/>
    <w:rsid w:val="062D3230"/>
    <w:rsid w:val="062F332D"/>
    <w:rsid w:val="06344386"/>
    <w:rsid w:val="063F121A"/>
    <w:rsid w:val="064D6F43"/>
    <w:rsid w:val="06842F02"/>
    <w:rsid w:val="068A6B79"/>
    <w:rsid w:val="06A21BCD"/>
    <w:rsid w:val="06B10655"/>
    <w:rsid w:val="06B7419D"/>
    <w:rsid w:val="06C353AC"/>
    <w:rsid w:val="06CB6EE8"/>
    <w:rsid w:val="06D01955"/>
    <w:rsid w:val="06D574B1"/>
    <w:rsid w:val="06DA568C"/>
    <w:rsid w:val="06E5218A"/>
    <w:rsid w:val="06FF63FC"/>
    <w:rsid w:val="0713510F"/>
    <w:rsid w:val="07181ECA"/>
    <w:rsid w:val="072E7798"/>
    <w:rsid w:val="07315411"/>
    <w:rsid w:val="07457114"/>
    <w:rsid w:val="074F24DB"/>
    <w:rsid w:val="0754332D"/>
    <w:rsid w:val="075E287F"/>
    <w:rsid w:val="07770C55"/>
    <w:rsid w:val="07886EAD"/>
    <w:rsid w:val="0795232E"/>
    <w:rsid w:val="07A22906"/>
    <w:rsid w:val="07AD15AD"/>
    <w:rsid w:val="07CB44AB"/>
    <w:rsid w:val="07CE2D65"/>
    <w:rsid w:val="07CF300C"/>
    <w:rsid w:val="07D25A89"/>
    <w:rsid w:val="07D60647"/>
    <w:rsid w:val="080A50E1"/>
    <w:rsid w:val="082D5A35"/>
    <w:rsid w:val="08423E7F"/>
    <w:rsid w:val="08623F90"/>
    <w:rsid w:val="086F0B37"/>
    <w:rsid w:val="08706591"/>
    <w:rsid w:val="08784E85"/>
    <w:rsid w:val="087E13A1"/>
    <w:rsid w:val="088438D4"/>
    <w:rsid w:val="08947020"/>
    <w:rsid w:val="0895726C"/>
    <w:rsid w:val="0897402F"/>
    <w:rsid w:val="08BD310C"/>
    <w:rsid w:val="08CE05D6"/>
    <w:rsid w:val="08DF36CD"/>
    <w:rsid w:val="08E829A0"/>
    <w:rsid w:val="08EB1785"/>
    <w:rsid w:val="091E7B21"/>
    <w:rsid w:val="09466553"/>
    <w:rsid w:val="094A1269"/>
    <w:rsid w:val="0952700D"/>
    <w:rsid w:val="095602F8"/>
    <w:rsid w:val="09590E66"/>
    <w:rsid w:val="09614058"/>
    <w:rsid w:val="097B12FA"/>
    <w:rsid w:val="0989040B"/>
    <w:rsid w:val="0991369C"/>
    <w:rsid w:val="09A35893"/>
    <w:rsid w:val="09A628C7"/>
    <w:rsid w:val="09C230BC"/>
    <w:rsid w:val="09D209CF"/>
    <w:rsid w:val="09DD4238"/>
    <w:rsid w:val="09DE52B7"/>
    <w:rsid w:val="09E36F15"/>
    <w:rsid w:val="09E579AA"/>
    <w:rsid w:val="09EA7759"/>
    <w:rsid w:val="09F20771"/>
    <w:rsid w:val="09FD16F1"/>
    <w:rsid w:val="0A18714D"/>
    <w:rsid w:val="0A2E0D43"/>
    <w:rsid w:val="0A5F2496"/>
    <w:rsid w:val="0A5F6C87"/>
    <w:rsid w:val="0A643C3A"/>
    <w:rsid w:val="0A7D5190"/>
    <w:rsid w:val="0A80515B"/>
    <w:rsid w:val="0A833543"/>
    <w:rsid w:val="0A881B00"/>
    <w:rsid w:val="0A8C4427"/>
    <w:rsid w:val="0A9F4DB8"/>
    <w:rsid w:val="0AB131C3"/>
    <w:rsid w:val="0ACC7EF9"/>
    <w:rsid w:val="0AD63A66"/>
    <w:rsid w:val="0AEA1062"/>
    <w:rsid w:val="0AF63239"/>
    <w:rsid w:val="0AF877C2"/>
    <w:rsid w:val="0B13274E"/>
    <w:rsid w:val="0B2362F1"/>
    <w:rsid w:val="0B297409"/>
    <w:rsid w:val="0B33654F"/>
    <w:rsid w:val="0B4668AD"/>
    <w:rsid w:val="0B47324E"/>
    <w:rsid w:val="0B756F76"/>
    <w:rsid w:val="0B852999"/>
    <w:rsid w:val="0B857862"/>
    <w:rsid w:val="0B9A7841"/>
    <w:rsid w:val="0BA134FA"/>
    <w:rsid w:val="0BA372ED"/>
    <w:rsid w:val="0BA73841"/>
    <w:rsid w:val="0BD107A2"/>
    <w:rsid w:val="0BF546D3"/>
    <w:rsid w:val="0BF74CF0"/>
    <w:rsid w:val="0C0340C5"/>
    <w:rsid w:val="0C184A65"/>
    <w:rsid w:val="0C2116C5"/>
    <w:rsid w:val="0C21752B"/>
    <w:rsid w:val="0C2358D4"/>
    <w:rsid w:val="0C2C475A"/>
    <w:rsid w:val="0C4F4059"/>
    <w:rsid w:val="0C656DDE"/>
    <w:rsid w:val="0C683357"/>
    <w:rsid w:val="0C740EE6"/>
    <w:rsid w:val="0C8C14DE"/>
    <w:rsid w:val="0C951441"/>
    <w:rsid w:val="0CA10A91"/>
    <w:rsid w:val="0CAB6FFC"/>
    <w:rsid w:val="0CB714E3"/>
    <w:rsid w:val="0CB763E4"/>
    <w:rsid w:val="0CC74D4F"/>
    <w:rsid w:val="0CD47388"/>
    <w:rsid w:val="0D0629FD"/>
    <w:rsid w:val="0D3140DF"/>
    <w:rsid w:val="0D386002"/>
    <w:rsid w:val="0D5C6898"/>
    <w:rsid w:val="0D623617"/>
    <w:rsid w:val="0D672189"/>
    <w:rsid w:val="0D7579BC"/>
    <w:rsid w:val="0D76388E"/>
    <w:rsid w:val="0D7B7D00"/>
    <w:rsid w:val="0D917BC9"/>
    <w:rsid w:val="0DB44507"/>
    <w:rsid w:val="0DBE0010"/>
    <w:rsid w:val="0DC648C5"/>
    <w:rsid w:val="0DD25C09"/>
    <w:rsid w:val="0DE00B9E"/>
    <w:rsid w:val="0DE03870"/>
    <w:rsid w:val="0DF866C7"/>
    <w:rsid w:val="0E053BAD"/>
    <w:rsid w:val="0E0E76C5"/>
    <w:rsid w:val="0E155D18"/>
    <w:rsid w:val="0E2267DB"/>
    <w:rsid w:val="0E2A02AE"/>
    <w:rsid w:val="0E2A1A99"/>
    <w:rsid w:val="0E2F3994"/>
    <w:rsid w:val="0E311A83"/>
    <w:rsid w:val="0E3E1BCB"/>
    <w:rsid w:val="0E406462"/>
    <w:rsid w:val="0E442DB6"/>
    <w:rsid w:val="0E6602BA"/>
    <w:rsid w:val="0E7B011E"/>
    <w:rsid w:val="0E9919C6"/>
    <w:rsid w:val="0EA13393"/>
    <w:rsid w:val="0EAB7A55"/>
    <w:rsid w:val="0EC20691"/>
    <w:rsid w:val="0ECD65B1"/>
    <w:rsid w:val="0F086677"/>
    <w:rsid w:val="0F09107F"/>
    <w:rsid w:val="0F0B487F"/>
    <w:rsid w:val="0F0D0582"/>
    <w:rsid w:val="0F0D166C"/>
    <w:rsid w:val="0F236368"/>
    <w:rsid w:val="0F417A61"/>
    <w:rsid w:val="0F5919A8"/>
    <w:rsid w:val="0F5E6203"/>
    <w:rsid w:val="0F5F25A7"/>
    <w:rsid w:val="0F5F497E"/>
    <w:rsid w:val="0F601DE1"/>
    <w:rsid w:val="0F643839"/>
    <w:rsid w:val="0F657DBE"/>
    <w:rsid w:val="0F6D22A4"/>
    <w:rsid w:val="0F7209E8"/>
    <w:rsid w:val="0F825D23"/>
    <w:rsid w:val="0F977364"/>
    <w:rsid w:val="0F9B1100"/>
    <w:rsid w:val="0FA70C91"/>
    <w:rsid w:val="0FCA6492"/>
    <w:rsid w:val="0FD0714A"/>
    <w:rsid w:val="0FE879E2"/>
    <w:rsid w:val="0FF04DAE"/>
    <w:rsid w:val="10276092"/>
    <w:rsid w:val="10281DF4"/>
    <w:rsid w:val="103A06D0"/>
    <w:rsid w:val="103A7592"/>
    <w:rsid w:val="104665CF"/>
    <w:rsid w:val="1054753F"/>
    <w:rsid w:val="1056536D"/>
    <w:rsid w:val="106F2BA0"/>
    <w:rsid w:val="10775528"/>
    <w:rsid w:val="107E176C"/>
    <w:rsid w:val="108A237E"/>
    <w:rsid w:val="109E202A"/>
    <w:rsid w:val="10A73CCA"/>
    <w:rsid w:val="10B15D4B"/>
    <w:rsid w:val="10B229C1"/>
    <w:rsid w:val="10C16FDC"/>
    <w:rsid w:val="10C50287"/>
    <w:rsid w:val="10E0695C"/>
    <w:rsid w:val="10E97ED6"/>
    <w:rsid w:val="11165B8F"/>
    <w:rsid w:val="111F3E0A"/>
    <w:rsid w:val="114706EC"/>
    <w:rsid w:val="114F1574"/>
    <w:rsid w:val="11537568"/>
    <w:rsid w:val="115D5B8E"/>
    <w:rsid w:val="117E34F5"/>
    <w:rsid w:val="117F5922"/>
    <w:rsid w:val="11801968"/>
    <w:rsid w:val="118B25D8"/>
    <w:rsid w:val="118B72CD"/>
    <w:rsid w:val="11A6193F"/>
    <w:rsid w:val="11AB0B06"/>
    <w:rsid w:val="11AF397A"/>
    <w:rsid w:val="11AF5713"/>
    <w:rsid w:val="11B34C16"/>
    <w:rsid w:val="11B511DC"/>
    <w:rsid w:val="11B87851"/>
    <w:rsid w:val="11BC7469"/>
    <w:rsid w:val="11C56BEA"/>
    <w:rsid w:val="11C871F9"/>
    <w:rsid w:val="11C908F0"/>
    <w:rsid w:val="11DC2C26"/>
    <w:rsid w:val="11DC30FA"/>
    <w:rsid w:val="11E145DB"/>
    <w:rsid w:val="120A322A"/>
    <w:rsid w:val="120F3B9A"/>
    <w:rsid w:val="12136BA5"/>
    <w:rsid w:val="1237204C"/>
    <w:rsid w:val="123861AE"/>
    <w:rsid w:val="12484A78"/>
    <w:rsid w:val="124B142A"/>
    <w:rsid w:val="124D5C07"/>
    <w:rsid w:val="12522207"/>
    <w:rsid w:val="125A5A87"/>
    <w:rsid w:val="12664FD6"/>
    <w:rsid w:val="127017AE"/>
    <w:rsid w:val="127454D9"/>
    <w:rsid w:val="12766D65"/>
    <w:rsid w:val="12AB7FED"/>
    <w:rsid w:val="12BD6088"/>
    <w:rsid w:val="12CD690A"/>
    <w:rsid w:val="12D34DDC"/>
    <w:rsid w:val="12D67D02"/>
    <w:rsid w:val="12DA612E"/>
    <w:rsid w:val="12E10B69"/>
    <w:rsid w:val="12FA2572"/>
    <w:rsid w:val="13096508"/>
    <w:rsid w:val="131053B3"/>
    <w:rsid w:val="13202A87"/>
    <w:rsid w:val="13246274"/>
    <w:rsid w:val="1334363B"/>
    <w:rsid w:val="133B0C40"/>
    <w:rsid w:val="134A4DF5"/>
    <w:rsid w:val="13541760"/>
    <w:rsid w:val="136221EA"/>
    <w:rsid w:val="138B5468"/>
    <w:rsid w:val="13A17567"/>
    <w:rsid w:val="13B77930"/>
    <w:rsid w:val="13CF0766"/>
    <w:rsid w:val="13D57A06"/>
    <w:rsid w:val="13DC6E14"/>
    <w:rsid w:val="13E468AB"/>
    <w:rsid w:val="13E72C0A"/>
    <w:rsid w:val="13EE4C5F"/>
    <w:rsid w:val="13FF0B66"/>
    <w:rsid w:val="140121A6"/>
    <w:rsid w:val="140A1E4D"/>
    <w:rsid w:val="140C1334"/>
    <w:rsid w:val="14134CBD"/>
    <w:rsid w:val="14193D95"/>
    <w:rsid w:val="141D196B"/>
    <w:rsid w:val="141F3AC3"/>
    <w:rsid w:val="142B79F9"/>
    <w:rsid w:val="143E7622"/>
    <w:rsid w:val="145D3C89"/>
    <w:rsid w:val="14784975"/>
    <w:rsid w:val="148D7F1B"/>
    <w:rsid w:val="14AA2338"/>
    <w:rsid w:val="14AB44BD"/>
    <w:rsid w:val="14AE6C5C"/>
    <w:rsid w:val="14B21643"/>
    <w:rsid w:val="14B8200C"/>
    <w:rsid w:val="14C66917"/>
    <w:rsid w:val="14C90BCD"/>
    <w:rsid w:val="14CD385C"/>
    <w:rsid w:val="14CF0C02"/>
    <w:rsid w:val="14FB066F"/>
    <w:rsid w:val="150B0B28"/>
    <w:rsid w:val="15255FDB"/>
    <w:rsid w:val="152E0466"/>
    <w:rsid w:val="15360918"/>
    <w:rsid w:val="153D2031"/>
    <w:rsid w:val="153D65AA"/>
    <w:rsid w:val="154F6A44"/>
    <w:rsid w:val="1566652A"/>
    <w:rsid w:val="156A0EE7"/>
    <w:rsid w:val="156C6B31"/>
    <w:rsid w:val="157E7C00"/>
    <w:rsid w:val="15844127"/>
    <w:rsid w:val="158725D5"/>
    <w:rsid w:val="15913D23"/>
    <w:rsid w:val="159C392F"/>
    <w:rsid w:val="15D9160C"/>
    <w:rsid w:val="15E00F91"/>
    <w:rsid w:val="15F2692F"/>
    <w:rsid w:val="1608320D"/>
    <w:rsid w:val="161F1A34"/>
    <w:rsid w:val="163012E3"/>
    <w:rsid w:val="164229C6"/>
    <w:rsid w:val="1654653B"/>
    <w:rsid w:val="165E376E"/>
    <w:rsid w:val="166F0F7F"/>
    <w:rsid w:val="167312B3"/>
    <w:rsid w:val="16753524"/>
    <w:rsid w:val="16935313"/>
    <w:rsid w:val="16A0094E"/>
    <w:rsid w:val="16A5294B"/>
    <w:rsid w:val="16B0353C"/>
    <w:rsid w:val="16B27A30"/>
    <w:rsid w:val="16B352BF"/>
    <w:rsid w:val="16E64ED8"/>
    <w:rsid w:val="16E77FB4"/>
    <w:rsid w:val="170E3A25"/>
    <w:rsid w:val="170E40E2"/>
    <w:rsid w:val="170E6750"/>
    <w:rsid w:val="171B3BD1"/>
    <w:rsid w:val="17221B29"/>
    <w:rsid w:val="172A34FB"/>
    <w:rsid w:val="173450E6"/>
    <w:rsid w:val="17420E95"/>
    <w:rsid w:val="174E4BAE"/>
    <w:rsid w:val="17683009"/>
    <w:rsid w:val="177A1ECA"/>
    <w:rsid w:val="17856849"/>
    <w:rsid w:val="178B6EBE"/>
    <w:rsid w:val="17994D01"/>
    <w:rsid w:val="17B522CE"/>
    <w:rsid w:val="17C16C03"/>
    <w:rsid w:val="17CA1B02"/>
    <w:rsid w:val="17D23125"/>
    <w:rsid w:val="17D267B2"/>
    <w:rsid w:val="17E01381"/>
    <w:rsid w:val="17EE563A"/>
    <w:rsid w:val="17F20C8E"/>
    <w:rsid w:val="17F33E0B"/>
    <w:rsid w:val="17FD7852"/>
    <w:rsid w:val="180B23ED"/>
    <w:rsid w:val="180C07D9"/>
    <w:rsid w:val="181128E6"/>
    <w:rsid w:val="18392C7E"/>
    <w:rsid w:val="18405D4A"/>
    <w:rsid w:val="184B0B1A"/>
    <w:rsid w:val="184C54A2"/>
    <w:rsid w:val="185720B4"/>
    <w:rsid w:val="186357CF"/>
    <w:rsid w:val="18644AFB"/>
    <w:rsid w:val="186D6016"/>
    <w:rsid w:val="189537A0"/>
    <w:rsid w:val="18976527"/>
    <w:rsid w:val="18A151FC"/>
    <w:rsid w:val="18A56B01"/>
    <w:rsid w:val="18AA3D66"/>
    <w:rsid w:val="18C463FE"/>
    <w:rsid w:val="18C74714"/>
    <w:rsid w:val="18D70BC5"/>
    <w:rsid w:val="18DF1A7E"/>
    <w:rsid w:val="18E53080"/>
    <w:rsid w:val="18E66BFB"/>
    <w:rsid w:val="18EA2E3F"/>
    <w:rsid w:val="19027D2F"/>
    <w:rsid w:val="19206C9C"/>
    <w:rsid w:val="19224387"/>
    <w:rsid w:val="19265C37"/>
    <w:rsid w:val="19334949"/>
    <w:rsid w:val="19462D14"/>
    <w:rsid w:val="195A23E9"/>
    <w:rsid w:val="19601712"/>
    <w:rsid w:val="19790E99"/>
    <w:rsid w:val="199A7E89"/>
    <w:rsid w:val="199B238B"/>
    <w:rsid w:val="19A61F85"/>
    <w:rsid w:val="19A767EB"/>
    <w:rsid w:val="19A81B94"/>
    <w:rsid w:val="19A93286"/>
    <w:rsid w:val="19B1448F"/>
    <w:rsid w:val="19BF4641"/>
    <w:rsid w:val="19E87899"/>
    <w:rsid w:val="19EF3CAE"/>
    <w:rsid w:val="19FC31B9"/>
    <w:rsid w:val="1A0E5BAE"/>
    <w:rsid w:val="1A0F32E0"/>
    <w:rsid w:val="1A0F3CF4"/>
    <w:rsid w:val="1A185E42"/>
    <w:rsid w:val="1A1F54AD"/>
    <w:rsid w:val="1A291433"/>
    <w:rsid w:val="1A2F0BD1"/>
    <w:rsid w:val="1A383315"/>
    <w:rsid w:val="1A5A0335"/>
    <w:rsid w:val="1A5E606F"/>
    <w:rsid w:val="1A5F67A3"/>
    <w:rsid w:val="1A6A425E"/>
    <w:rsid w:val="1A6C4FE0"/>
    <w:rsid w:val="1A6E33D9"/>
    <w:rsid w:val="1A7F0ABC"/>
    <w:rsid w:val="1A895DF3"/>
    <w:rsid w:val="1AA22C2D"/>
    <w:rsid w:val="1AD00104"/>
    <w:rsid w:val="1ADA09F6"/>
    <w:rsid w:val="1AF46142"/>
    <w:rsid w:val="1AF50127"/>
    <w:rsid w:val="1B0E63A9"/>
    <w:rsid w:val="1B134FE5"/>
    <w:rsid w:val="1B183F48"/>
    <w:rsid w:val="1B1F01E4"/>
    <w:rsid w:val="1B2B1B58"/>
    <w:rsid w:val="1B325AFD"/>
    <w:rsid w:val="1B4B0E4E"/>
    <w:rsid w:val="1B55114B"/>
    <w:rsid w:val="1B5D3839"/>
    <w:rsid w:val="1B5D3A1F"/>
    <w:rsid w:val="1B681568"/>
    <w:rsid w:val="1B755D9D"/>
    <w:rsid w:val="1B78304C"/>
    <w:rsid w:val="1B791738"/>
    <w:rsid w:val="1B7F7189"/>
    <w:rsid w:val="1B8968A3"/>
    <w:rsid w:val="1BA55EA7"/>
    <w:rsid w:val="1BA66ACB"/>
    <w:rsid w:val="1BD11BA9"/>
    <w:rsid w:val="1BE405CE"/>
    <w:rsid w:val="1C0C3825"/>
    <w:rsid w:val="1C1D35D3"/>
    <w:rsid w:val="1C2273AA"/>
    <w:rsid w:val="1C24441E"/>
    <w:rsid w:val="1C254763"/>
    <w:rsid w:val="1C2C1983"/>
    <w:rsid w:val="1C345622"/>
    <w:rsid w:val="1C362091"/>
    <w:rsid w:val="1C550892"/>
    <w:rsid w:val="1C5E7F4D"/>
    <w:rsid w:val="1C643C39"/>
    <w:rsid w:val="1C684B5C"/>
    <w:rsid w:val="1C70679E"/>
    <w:rsid w:val="1C73498F"/>
    <w:rsid w:val="1C8079CE"/>
    <w:rsid w:val="1C807CDD"/>
    <w:rsid w:val="1C8417DB"/>
    <w:rsid w:val="1C9766E9"/>
    <w:rsid w:val="1C985AEC"/>
    <w:rsid w:val="1C9E547E"/>
    <w:rsid w:val="1CAA58EA"/>
    <w:rsid w:val="1CB13C65"/>
    <w:rsid w:val="1CBB2A40"/>
    <w:rsid w:val="1CBD081C"/>
    <w:rsid w:val="1CC3623C"/>
    <w:rsid w:val="1CC66B92"/>
    <w:rsid w:val="1CC75A35"/>
    <w:rsid w:val="1CCC1597"/>
    <w:rsid w:val="1CCF40CE"/>
    <w:rsid w:val="1CD249F8"/>
    <w:rsid w:val="1CD253D3"/>
    <w:rsid w:val="1CE85415"/>
    <w:rsid w:val="1CF75F0C"/>
    <w:rsid w:val="1D145931"/>
    <w:rsid w:val="1D196F01"/>
    <w:rsid w:val="1D28407E"/>
    <w:rsid w:val="1D312F9E"/>
    <w:rsid w:val="1D334DC6"/>
    <w:rsid w:val="1D431CEE"/>
    <w:rsid w:val="1D665A9D"/>
    <w:rsid w:val="1D6C482C"/>
    <w:rsid w:val="1D731D3D"/>
    <w:rsid w:val="1D857618"/>
    <w:rsid w:val="1D877C55"/>
    <w:rsid w:val="1D975A5E"/>
    <w:rsid w:val="1DA27F22"/>
    <w:rsid w:val="1DA90D9D"/>
    <w:rsid w:val="1DAB49BA"/>
    <w:rsid w:val="1DB54A9D"/>
    <w:rsid w:val="1DD03979"/>
    <w:rsid w:val="1E153985"/>
    <w:rsid w:val="1E1A1A0A"/>
    <w:rsid w:val="1E1C7861"/>
    <w:rsid w:val="1E4B049D"/>
    <w:rsid w:val="1E503F00"/>
    <w:rsid w:val="1E64468B"/>
    <w:rsid w:val="1E6765E9"/>
    <w:rsid w:val="1E746E79"/>
    <w:rsid w:val="1E8339F3"/>
    <w:rsid w:val="1E83419C"/>
    <w:rsid w:val="1E852DBD"/>
    <w:rsid w:val="1E8713E0"/>
    <w:rsid w:val="1E9761F8"/>
    <w:rsid w:val="1EAD4EDF"/>
    <w:rsid w:val="1EB4668A"/>
    <w:rsid w:val="1EC57FD6"/>
    <w:rsid w:val="1EC90854"/>
    <w:rsid w:val="1ECD41F7"/>
    <w:rsid w:val="1ED75082"/>
    <w:rsid w:val="1EF33206"/>
    <w:rsid w:val="1EF830AC"/>
    <w:rsid w:val="1F0D2F88"/>
    <w:rsid w:val="1F195487"/>
    <w:rsid w:val="1F1D0496"/>
    <w:rsid w:val="1F1F7A16"/>
    <w:rsid w:val="1F2B648E"/>
    <w:rsid w:val="1F3E611F"/>
    <w:rsid w:val="1F5E6840"/>
    <w:rsid w:val="1F7F3A5C"/>
    <w:rsid w:val="1F9175CB"/>
    <w:rsid w:val="1F925E59"/>
    <w:rsid w:val="1F9425A7"/>
    <w:rsid w:val="1F9537B8"/>
    <w:rsid w:val="1F963187"/>
    <w:rsid w:val="1F983BA2"/>
    <w:rsid w:val="1F9F0A90"/>
    <w:rsid w:val="1FB31F2E"/>
    <w:rsid w:val="1FB55ACC"/>
    <w:rsid w:val="1FC402DF"/>
    <w:rsid w:val="1FC634F9"/>
    <w:rsid w:val="1FF6399E"/>
    <w:rsid w:val="201C4048"/>
    <w:rsid w:val="202050DF"/>
    <w:rsid w:val="2045249D"/>
    <w:rsid w:val="20522F83"/>
    <w:rsid w:val="205E7A21"/>
    <w:rsid w:val="205F08EE"/>
    <w:rsid w:val="2060378A"/>
    <w:rsid w:val="20685AA2"/>
    <w:rsid w:val="2069465B"/>
    <w:rsid w:val="208A1106"/>
    <w:rsid w:val="20923F22"/>
    <w:rsid w:val="20983975"/>
    <w:rsid w:val="20B04E62"/>
    <w:rsid w:val="20B106FA"/>
    <w:rsid w:val="20BE3B6B"/>
    <w:rsid w:val="20BF0B8B"/>
    <w:rsid w:val="20D32278"/>
    <w:rsid w:val="20D813EB"/>
    <w:rsid w:val="20DF6EAC"/>
    <w:rsid w:val="20F5290A"/>
    <w:rsid w:val="2103731D"/>
    <w:rsid w:val="210F7363"/>
    <w:rsid w:val="21171FB3"/>
    <w:rsid w:val="21191048"/>
    <w:rsid w:val="211F2987"/>
    <w:rsid w:val="21273DCB"/>
    <w:rsid w:val="213A49D3"/>
    <w:rsid w:val="21414A77"/>
    <w:rsid w:val="216619F5"/>
    <w:rsid w:val="217D122E"/>
    <w:rsid w:val="21826366"/>
    <w:rsid w:val="218F17E4"/>
    <w:rsid w:val="218F4351"/>
    <w:rsid w:val="21994812"/>
    <w:rsid w:val="21A52AD4"/>
    <w:rsid w:val="21A570B9"/>
    <w:rsid w:val="21B41992"/>
    <w:rsid w:val="21C457C2"/>
    <w:rsid w:val="21F60FB9"/>
    <w:rsid w:val="21F62DAD"/>
    <w:rsid w:val="21F80DB5"/>
    <w:rsid w:val="220C0319"/>
    <w:rsid w:val="221B73F1"/>
    <w:rsid w:val="2221121D"/>
    <w:rsid w:val="222E131E"/>
    <w:rsid w:val="22423002"/>
    <w:rsid w:val="22506245"/>
    <w:rsid w:val="22513CB4"/>
    <w:rsid w:val="226D2100"/>
    <w:rsid w:val="22741C8B"/>
    <w:rsid w:val="227A1D25"/>
    <w:rsid w:val="22833FD6"/>
    <w:rsid w:val="228C1E2C"/>
    <w:rsid w:val="228F72C6"/>
    <w:rsid w:val="22906E84"/>
    <w:rsid w:val="229A52D3"/>
    <w:rsid w:val="22B13E75"/>
    <w:rsid w:val="22D46895"/>
    <w:rsid w:val="22DE746A"/>
    <w:rsid w:val="22E3600A"/>
    <w:rsid w:val="22EC342D"/>
    <w:rsid w:val="22ED61BE"/>
    <w:rsid w:val="2301447F"/>
    <w:rsid w:val="23031C3F"/>
    <w:rsid w:val="23183B3D"/>
    <w:rsid w:val="232452D9"/>
    <w:rsid w:val="232B09E8"/>
    <w:rsid w:val="23611981"/>
    <w:rsid w:val="2375281C"/>
    <w:rsid w:val="23A816A2"/>
    <w:rsid w:val="23B03A60"/>
    <w:rsid w:val="23B5583B"/>
    <w:rsid w:val="23BE505F"/>
    <w:rsid w:val="23C01779"/>
    <w:rsid w:val="23DE707D"/>
    <w:rsid w:val="23EC0D65"/>
    <w:rsid w:val="240521F4"/>
    <w:rsid w:val="240A5C0D"/>
    <w:rsid w:val="241C17AF"/>
    <w:rsid w:val="241E28C4"/>
    <w:rsid w:val="243869E6"/>
    <w:rsid w:val="243A30BC"/>
    <w:rsid w:val="244E0554"/>
    <w:rsid w:val="24891290"/>
    <w:rsid w:val="24927B72"/>
    <w:rsid w:val="249C042E"/>
    <w:rsid w:val="249D31D4"/>
    <w:rsid w:val="24A91BA9"/>
    <w:rsid w:val="24CE46A1"/>
    <w:rsid w:val="24D044EE"/>
    <w:rsid w:val="24DA6280"/>
    <w:rsid w:val="24DB38D7"/>
    <w:rsid w:val="24E156D2"/>
    <w:rsid w:val="24EC16A4"/>
    <w:rsid w:val="24F250E0"/>
    <w:rsid w:val="24FB600E"/>
    <w:rsid w:val="2509739E"/>
    <w:rsid w:val="251624E0"/>
    <w:rsid w:val="251639B0"/>
    <w:rsid w:val="25277E1F"/>
    <w:rsid w:val="25310A0C"/>
    <w:rsid w:val="25361E47"/>
    <w:rsid w:val="2547629B"/>
    <w:rsid w:val="254B4BF3"/>
    <w:rsid w:val="25582912"/>
    <w:rsid w:val="25722D00"/>
    <w:rsid w:val="25793BBA"/>
    <w:rsid w:val="258B7772"/>
    <w:rsid w:val="258D5D82"/>
    <w:rsid w:val="259049CD"/>
    <w:rsid w:val="2590643F"/>
    <w:rsid w:val="259B78B2"/>
    <w:rsid w:val="25AA7AD8"/>
    <w:rsid w:val="25B833D8"/>
    <w:rsid w:val="26123216"/>
    <w:rsid w:val="262237CF"/>
    <w:rsid w:val="2622563D"/>
    <w:rsid w:val="264C1A04"/>
    <w:rsid w:val="26642E20"/>
    <w:rsid w:val="26693407"/>
    <w:rsid w:val="26716CE0"/>
    <w:rsid w:val="26717302"/>
    <w:rsid w:val="2676756D"/>
    <w:rsid w:val="267E7E3C"/>
    <w:rsid w:val="267F18FC"/>
    <w:rsid w:val="268E439A"/>
    <w:rsid w:val="269A321D"/>
    <w:rsid w:val="26A460D9"/>
    <w:rsid w:val="26A74A9B"/>
    <w:rsid w:val="26B01289"/>
    <w:rsid w:val="26BC270D"/>
    <w:rsid w:val="26DB0889"/>
    <w:rsid w:val="26E36B51"/>
    <w:rsid w:val="26E42A67"/>
    <w:rsid w:val="26E701A1"/>
    <w:rsid w:val="26E922B2"/>
    <w:rsid w:val="27031913"/>
    <w:rsid w:val="27080E4D"/>
    <w:rsid w:val="270B5FFC"/>
    <w:rsid w:val="270D325F"/>
    <w:rsid w:val="27377FE4"/>
    <w:rsid w:val="273E7973"/>
    <w:rsid w:val="27443C4C"/>
    <w:rsid w:val="27474C47"/>
    <w:rsid w:val="2748357C"/>
    <w:rsid w:val="27571E16"/>
    <w:rsid w:val="276223AC"/>
    <w:rsid w:val="276307BE"/>
    <w:rsid w:val="27762F91"/>
    <w:rsid w:val="279A6340"/>
    <w:rsid w:val="27A307C4"/>
    <w:rsid w:val="27AB4A86"/>
    <w:rsid w:val="27D01065"/>
    <w:rsid w:val="27D80C40"/>
    <w:rsid w:val="27DF4C50"/>
    <w:rsid w:val="27EF7CBF"/>
    <w:rsid w:val="27FD67C5"/>
    <w:rsid w:val="27FE2729"/>
    <w:rsid w:val="280A7131"/>
    <w:rsid w:val="282179A8"/>
    <w:rsid w:val="28245A2B"/>
    <w:rsid w:val="2830623B"/>
    <w:rsid w:val="283812A7"/>
    <w:rsid w:val="283C1E90"/>
    <w:rsid w:val="283C78C1"/>
    <w:rsid w:val="28520A40"/>
    <w:rsid w:val="285A4F87"/>
    <w:rsid w:val="285C7D7F"/>
    <w:rsid w:val="28854E76"/>
    <w:rsid w:val="288A17B8"/>
    <w:rsid w:val="289B4185"/>
    <w:rsid w:val="28A91335"/>
    <w:rsid w:val="28AA4A50"/>
    <w:rsid w:val="28D9655E"/>
    <w:rsid w:val="28DF6A85"/>
    <w:rsid w:val="28E42364"/>
    <w:rsid w:val="28F63C35"/>
    <w:rsid w:val="29044CD0"/>
    <w:rsid w:val="29066143"/>
    <w:rsid w:val="290C4E50"/>
    <w:rsid w:val="291029EE"/>
    <w:rsid w:val="29251DA1"/>
    <w:rsid w:val="293B363F"/>
    <w:rsid w:val="294D20ED"/>
    <w:rsid w:val="29510A26"/>
    <w:rsid w:val="296B237E"/>
    <w:rsid w:val="2996451F"/>
    <w:rsid w:val="29B17A21"/>
    <w:rsid w:val="29B2037E"/>
    <w:rsid w:val="29BB20C3"/>
    <w:rsid w:val="29BE6D36"/>
    <w:rsid w:val="29C87242"/>
    <w:rsid w:val="29D1128B"/>
    <w:rsid w:val="29DE48C1"/>
    <w:rsid w:val="29DF240D"/>
    <w:rsid w:val="29E17AB5"/>
    <w:rsid w:val="29EC44A1"/>
    <w:rsid w:val="29EF1086"/>
    <w:rsid w:val="29F339AB"/>
    <w:rsid w:val="29F52619"/>
    <w:rsid w:val="29F61693"/>
    <w:rsid w:val="29FD7E3A"/>
    <w:rsid w:val="2A062297"/>
    <w:rsid w:val="2A136E96"/>
    <w:rsid w:val="2A1A27CE"/>
    <w:rsid w:val="2A2D2075"/>
    <w:rsid w:val="2A31141F"/>
    <w:rsid w:val="2A364BA1"/>
    <w:rsid w:val="2A423B61"/>
    <w:rsid w:val="2A4D4C73"/>
    <w:rsid w:val="2A561E85"/>
    <w:rsid w:val="2A8D24F7"/>
    <w:rsid w:val="2AB83369"/>
    <w:rsid w:val="2ACB25E9"/>
    <w:rsid w:val="2ACD1FA3"/>
    <w:rsid w:val="2ADE6384"/>
    <w:rsid w:val="2AEC2476"/>
    <w:rsid w:val="2AFD30CC"/>
    <w:rsid w:val="2B09099C"/>
    <w:rsid w:val="2B26778D"/>
    <w:rsid w:val="2B2C1A18"/>
    <w:rsid w:val="2B2D4FF3"/>
    <w:rsid w:val="2B3F27C4"/>
    <w:rsid w:val="2B587E79"/>
    <w:rsid w:val="2B602DBB"/>
    <w:rsid w:val="2B6C7D15"/>
    <w:rsid w:val="2B812C74"/>
    <w:rsid w:val="2B926A1F"/>
    <w:rsid w:val="2BAD3943"/>
    <w:rsid w:val="2BDD4BEB"/>
    <w:rsid w:val="2BDE1105"/>
    <w:rsid w:val="2BE334D3"/>
    <w:rsid w:val="2BEA6DD5"/>
    <w:rsid w:val="2BF41F79"/>
    <w:rsid w:val="2C0920F1"/>
    <w:rsid w:val="2C1A3835"/>
    <w:rsid w:val="2C2861CA"/>
    <w:rsid w:val="2C34013B"/>
    <w:rsid w:val="2C493F77"/>
    <w:rsid w:val="2C4A017F"/>
    <w:rsid w:val="2C60163C"/>
    <w:rsid w:val="2C6236D8"/>
    <w:rsid w:val="2C75528C"/>
    <w:rsid w:val="2C803721"/>
    <w:rsid w:val="2C9011A1"/>
    <w:rsid w:val="2CAC5301"/>
    <w:rsid w:val="2CC75846"/>
    <w:rsid w:val="2CD02E95"/>
    <w:rsid w:val="2CD57579"/>
    <w:rsid w:val="2CEA0D73"/>
    <w:rsid w:val="2CF67364"/>
    <w:rsid w:val="2D0014A4"/>
    <w:rsid w:val="2D005A32"/>
    <w:rsid w:val="2D056781"/>
    <w:rsid w:val="2D264C50"/>
    <w:rsid w:val="2D290A71"/>
    <w:rsid w:val="2D421B33"/>
    <w:rsid w:val="2D4926BE"/>
    <w:rsid w:val="2D4A6DF6"/>
    <w:rsid w:val="2D5127C3"/>
    <w:rsid w:val="2D522F59"/>
    <w:rsid w:val="2D5A52CC"/>
    <w:rsid w:val="2D8B0AE0"/>
    <w:rsid w:val="2D963B8A"/>
    <w:rsid w:val="2D9C0483"/>
    <w:rsid w:val="2DA94FE1"/>
    <w:rsid w:val="2DAE765F"/>
    <w:rsid w:val="2DB31496"/>
    <w:rsid w:val="2DBB39FF"/>
    <w:rsid w:val="2DBB4A94"/>
    <w:rsid w:val="2DDC08E8"/>
    <w:rsid w:val="2DE757D8"/>
    <w:rsid w:val="2DFA4127"/>
    <w:rsid w:val="2E07131F"/>
    <w:rsid w:val="2E0D4C20"/>
    <w:rsid w:val="2E140791"/>
    <w:rsid w:val="2E153AEF"/>
    <w:rsid w:val="2E172DB3"/>
    <w:rsid w:val="2E396652"/>
    <w:rsid w:val="2E4227E5"/>
    <w:rsid w:val="2E4A1B76"/>
    <w:rsid w:val="2E4A2347"/>
    <w:rsid w:val="2E557ACC"/>
    <w:rsid w:val="2E602196"/>
    <w:rsid w:val="2E6C7C38"/>
    <w:rsid w:val="2E7836B8"/>
    <w:rsid w:val="2E877ADF"/>
    <w:rsid w:val="2E8C44BE"/>
    <w:rsid w:val="2E9379B1"/>
    <w:rsid w:val="2E9D1D2A"/>
    <w:rsid w:val="2EAF1EC9"/>
    <w:rsid w:val="2EB40000"/>
    <w:rsid w:val="2EBF7FC0"/>
    <w:rsid w:val="2EC3395A"/>
    <w:rsid w:val="2ECB28DF"/>
    <w:rsid w:val="2EEA1D6F"/>
    <w:rsid w:val="2EFB602F"/>
    <w:rsid w:val="2F021C43"/>
    <w:rsid w:val="2F02426B"/>
    <w:rsid w:val="2F0D4CF3"/>
    <w:rsid w:val="2F1C4FCC"/>
    <w:rsid w:val="2F2D79BA"/>
    <w:rsid w:val="2F342A95"/>
    <w:rsid w:val="2F49009D"/>
    <w:rsid w:val="2F50764E"/>
    <w:rsid w:val="2F510AAC"/>
    <w:rsid w:val="2F5F3B82"/>
    <w:rsid w:val="2F606CAB"/>
    <w:rsid w:val="2F8107DD"/>
    <w:rsid w:val="2F8520FF"/>
    <w:rsid w:val="2F985A51"/>
    <w:rsid w:val="2FC45E22"/>
    <w:rsid w:val="2FD46484"/>
    <w:rsid w:val="2FD512E9"/>
    <w:rsid w:val="2FDE1CBD"/>
    <w:rsid w:val="2FE2482D"/>
    <w:rsid w:val="300A33EB"/>
    <w:rsid w:val="300A3689"/>
    <w:rsid w:val="300E0A3A"/>
    <w:rsid w:val="30200298"/>
    <w:rsid w:val="30315175"/>
    <w:rsid w:val="303E2801"/>
    <w:rsid w:val="303F33C9"/>
    <w:rsid w:val="30435EED"/>
    <w:rsid w:val="304F3D41"/>
    <w:rsid w:val="30570A06"/>
    <w:rsid w:val="30624BEF"/>
    <w:rsid w:val="30634D2C"/>
    <w:rsid w:val="30667FF1"/>
    <w:rsid w:val="30745815"/>
    <w:rsid w:val="308C4EB8"/>
    <w:rsid w:val="30935AF5"/>
    <w:rsid w:val="30965F6B"/>
    <w:rsid w:val="3099643C"/>
    <w:rsid w:val="30A54426"/>
    <w:rsid w:val="30B17337"/>
    <w:rsid w:val="30B90B06"/>
    <w:rsid w:val="30BE038B"/>
    <w:rsid w:val="30C70A84"/>
    <w:rsid w:val="30C854BC"/>
    <w:rsid w:val="30D46F54"/>
    <w:rsid w:val="30E81727"/>
    <w:rsid w:val="31014B16"/>
    <w:rsid w:val="310834AA"/>
    <w:rsid w:val="31094966"/>
    <w:rsid w:val="311228F5"/>
    <w:rsid w:val="31162FA7"/>
    <w:rsid w:val="312A1701"/>
    <w:rsid w:val="3133448A"/>
    <w:rsid w:val="3173490E"/>
    <w:rsid w:val="318C54B2"/>
    <w:rsid w:val="318C6AA1"/>
    <w:rsid w:val="31966A1A"/>
    <w:rsid w:val="31973F3A"/>
    <w:rsid w:val="319E769C"/>
    <w:rsid w:val="31B6395A"/>
    <w:rsid w:val="31BF48E6"/>
    <w:rsid w:val="31CA418A"/>
    <w:rsid w:val="31CA79A5"/>
    <w:rsid w:val="31CD135D"/>
    <w:rsid w:val="31DA5C95"/>
    <w:rsid w:val="31FB0ACC"/>
    <w:rsid w:val="3201479D"/>
    <w:rsid w:val="32077A40"/>
    <w:rsid w:val="3223765F"/>
    <w:rsid w:val="32383AEA"/>
    <w:rsid w:val="323F12ED"/>
    <w:rsid w:val="326F369A"/>
    <w:rsid w:val="328C418A"/>
    <w:rsid w:val="328E2279"/>
    <w:rsid w:val="32993D8B"/>
    <w:rsid w:val="32A5702B"/>
    <w:rsid w:val="32AF0717"/>
    <w:rsid w:val="32E62CD4"/>
    <w:rsid w:val="32E94550"/>
    <w:rsid w:val="32EA0198"/>
    <w:rsid w:val="32F55F59"/>
    <w:rsid w:val="32F80C72"/>
    <w:rsid w:val="32F91635"/>
    <w:rsid w:val="33010746"/>
    <w:rsid w:val="330778F8"/>
    <w:rsid w:val="331255F0"/>
    <w:rsid w:val="33153119"/>
    <w:rsid w:val="33210737"/>
    <w:rsid w:val="332376B6"/>
    <w:rsid w:val="333F7119"/>
    <w:rsid w:val="33617D33"/>
    <w:rsid w:val="33622890"/>
    <w:rsid w:val="337A6F91"/>
    <w:rsid w:val="33816AFC"/>
    <w:rsid w:val="338311F0"/>
    <w:rsid w:val="338D1B2D"/>
    <w:rsid w:val="3399014C"/>
    <w:rsid w:val="339C5360"/>
    <w:rsid w:val="33A2231A"/>
    <w:rsid w:val="33BA5CDA"/>
    <w:rsid w:val="33C55476"/>
    <w:rsid w:val="33CA068D"/>
    <w:rsid w:val="33D542AD"/>
    <w:rsid w:val="33D955CD"/>
    <w:rsid w:val="33DA20B6"/>
    <w:rsid w:val="33E238F4"/>
    <w:rsid w:val="33FB1BD4"/>
    <w:rsid w:val="34087ED1"/>
    <w:rsid w:val="341D1CE8"/>
    <w:rsid w:val="34236E8C"/>
    <w:rsid w:val="34253A52"/>
    <w:rsid w:val="34297819"/>
    <w:rsid w:val="342F6F37"/>
    <w:rsid w:val="34335DC9"/>
    <w:rsid w:val="34540095"/>
    <w:rsid w:val="345C43B8"/>
    <w:rsid w:val="345D0EB4"/>
    <w:rsid w:val="345F7F6E"/>
    <w:rsid w:val="347C4503"/>
    <w:rsid w:val="349527A4"/>
    <w:rsid w:val="34C56DE3"/>
    <w:rsid w:val="34DB19DA"/>
    <w:rsid w:val="35155EA8"/>
    <w:rsid w:val="35266112"/>
    <w:rsid w:val="353832BF"/>
    <w:rsid w:val="353B2978"/>
    <w:rsid w:val="354521E4"/>
    <w:rsid w:val="355C69A8"/>
    <w:rsid w:val="35614DB4"/>
    <w:rsid w:val="35706111"/>
    <w:rsid w:val="35707133"/>
    <w:rsid w:val="358D37BC"/>
    <w:rsid w:val="3593212E"/>
    <w:rsid w:val="359E6592"/>
    <w:rsid w:val="35B4774D"/>
    <w:rsid w:val="35B60E1A"/>
    <w:rsid w:val="35C90CD4"/>
    <w:rsid w:val="35D61A96"/>
    <w:rsid w:val="35EF63BA"/>
    <w:rsid w:val="35F47FE4"/>
    <w:rsid w:val="35FE38DC"/>
    <w:rsid w:val="360452FC"/>
    <w:rsid w:val="36092DE6"/>
    <w:rsid w:val="360C6A6A"/>
    <w:rsid w:val="360D0233"/>
    <w:rsid w:val="36175E28"/>
    <w:rsid w:val="36373885"/>
    <w:rsid w:val="363837F8"/>
    <w:rsid w:val="363C1FB2"/>
    <w:rsid w:val="365255BF"/>
    <w:rsid w:val="366367C6"/>
    <w:rsid w:val="368626C8"/>
    <w:rsid w:val="36AA0819"/>
    <w:rsid w:val="36B94AE7"/>
    <w:rsid w:val="36C37CA4"/>
    <w:rsid w:val="36C44817"/>
    <w:rsid w:val="36ED5F87"/>
    <w:rsid w:val="36FC0452"/>
    <w:rsid w:val="371467C2"/>
    <w:rsid w:val="37155DD1"/>
    <w:rsid w:val="37254C1B"/>
    <w:rsid w:val="373F1F1B"/>
    <w:rsid w:val="374F3BF6"/>
    <w:rsid w:val="376F2CCE"/>
    <w:rsid w:val="37760DCD"/>
    <w:rsid w:val="379F53DD"/>
    <w:rsid w:val="37A8185B"/>
    <w:rsid w:val="37DB4281"/>
    <w:rsid w:val="37FB3840"/>
    <w:rsid w:val="380D77BF"/>
    <w:rsid w:val="381134A0"/>
    <w:rsid w:val="382710A6"/>
    <w:rsid w:val="38296609"/>
    <w:rsid w:val="384329A7"/>
    <w:rsid w:val="38461C12"/>
    <w:rsid w:val="3847561E"/>
    <w:rsid w:val="386E0B29"/>
    <w:rsid w:val="38746A48"/>
    <w:rsid w:val="387F148C"/>
    <w:rsid w:val="38A30ECF"/>
    <w:rsid w:val="38B813DD"/>
    <w:rsid w:val="38DC19A3"/>
    <w:rsid w:val="39011ABA"/>
    <w:rsid w:val="39132A2B"/>
    <w:rsid w:val="391B1E99"/>
    <w:rsid w:val="395A4C18"/>
    <w:rsid w:val="395D550F"/>
    <w:rsid w:val="39756C34"/>
    <w:rsid w:val="397937EE"/>
    <w:rsid w:val="39854AB8"/>
    <w:rsid w:val="39976D8E"/>
    <w:rsid w:val="399A2EB5"/>
    <w:rsid w:val="39AD7F22"/>
    <w:rsid w:val="39B518AC"/>
    <w:rsid w:val="39C0401A"/>
    <w:rsid w:val="39CB2147"/>
    <w:rsid w:val="39D10FB0"/>
    <w:rsid w:val="3A1479CF"/>
    <w:rsid w:val="3A2C4669"/>
    <w:rsid w:val="3A2D356C"/>
    <w:rsid w:val="3A4B0E19"/>
    <w:rsid w:val="3A585E3C"/>
    <w:rsid w:val="3A647240"/>
    <w:rsid w:val="3A664AC3"/>
    <w:rsid w:val="3A691336"/>
    <w:rsid w:val="3A817823"/>
    <w:rsid w:val="3A8C09B8"/>
    <w:rsid w:val="3A946DFA"/>
    <w:rsid w:val="3A966796"/>
    <w:rsid w:val="3A9C0A72"/>
    <w:rsid w:val="3AA364EE"/>
    <w:rsid w:val="3AAA7CF6"/>
    <w:rsid w:val="3AB24040"/>
    <w:rsid w:val="3AB85E28"/>
    <w:rsid w:val="3ABE422F"/>
    <w:rsid w:val="3AC07FE5"/>
    <w:rsid w:val="3B0A26F5"/>
    <w:rsid w:val="3B333BD3"/>
    <w:rsid w:val="3B465C1B"/>
    <w:rsid w:val="3B687A77"/>
    <w:rsid w:val="3B6C57F6"/>
    <w:rsid w:val="3B7C26CF"/>
    <w:rsid w:val="3B7D3772"/>
    <w:rsid w:val="3B865191"/>
    <w:rsid w:val="3B89279D"/>
    <w:rsid w:val="3B9C3E1F"/>
    <w:rsid w:val="3B9E4509"/>
    <w:rsid w:val="3BB42D5E"/>
    <w:rsid w:val="3BBC762E"/>
    <w:rsid w:val="3BD66D25"/>
    <w:rsid w:val="3BDE3F9F"/>
    <w:rsid w:val="3C1909FD"/>
    <w:rsid w:val="3C355D95"/>
    <w:rsid w:val="3C431DD1"/>
    <w:rsid w:val="3C450F21"/>
    <w:rsid w:val="3C4B2E1C"/>
    <w:rsid w:val="3C50590B"/>
    <w:rsid w:val="3C603007"/>
    <w:rsid w:val="3C7B0F18"/>
    <w:rsid w:val="3C7B5FCA"/>
    <w:rsid w:val="3C876877"/>
    <w:rsid w:val="3C9A5808"/>
    <w:rsid w:val="3C9B7F33"/>
    <w:rsid w:val="3CA83813"/>
    <w:rsid w:val="3CAB32DE"/>
    <w:rsid w:val="3CED194F"/>
    <w:rsid w:val="3CED2CEE"/>
    <w:rsid w:val="3CF74DB6"/>
    <w:rsid w:val="3D043CD4"/>
    <w:rsid w:val="3D0C2320"/>
    <w:rsid w:val="3D257FD2"/>
    <w:rsid w:val="3D450A21"/>
    <w:rsid w:val="3D54567C"/>
    <w:rsid w:val="3D664E46"/>
    <w:rsid w:val="3D6E2CE9"/>
    <w:rsid w:val="3D8D1244"/>
    <w:rsid w:val="3D9A7DA0"/>
    <w:rsid w:val="3DA43CB0"/>
    <w:rsid w:val="3DA636F8"/>
    <w:rsid w:val="3DA86AB4"/>
    <w:rsid w:val="3DB27837"/>
    <w:rsid w:val="3DB44D14"/>
    <w:rsid w:val="3DCA7046"/>
    <w:rsid w:val="3DCB409C"/>
    <w:rsid w:val="3DD14719"/>
    <w:rsid w:val="3DD372AA"/>
    <w:rsid w:val="3DD822AC"/>
    <w:rsid w:val="3DE06010"/>
    <w:rsid w:val="3DE11B8A"/>
    <w:rsid w:val="3DEE2D91"/>
    <w:rsid w:val="3DFE05C2"/>
    <w:rsid w:val="3E0A2492"/>
    <w:rsid w:val="3E0C3AD4"/>
    <w:rsid w:val="3E0D3F29"/>
    <w:rsid w:val="3E1B35BC"/>
    <w:rsid w:val="3E455560"/>
    <w:rsid w:val="3E5C156E"/>
    <w:rsid w:val="3E6116DB"/>
    <w:rsid w:val="3E6C77A4"/>
    <w:rsid w:val="3E82698F"/>
    <w:rsid w:val="3E8A04E0"/>
    <w:rsid w:val="3E9E57A9"/>
    <w:rsid w:val="3EA339D3"/>
    <w:rsid w:val="3EA94CB8"/>
    <w:rsid w:val="3EAE4105"/>
    <w:rsid w:val="3ECF5F4F"/>
    <w:rsid w:val="3ED268D0"/>
    <w:rsid w:val="3EF021C0"/>
    <w:rsid w:val="3F0F4981"/>
    <w:rsid w:val="3F156EA0"/>
    <w:rsid w:val="3F160796"/>
    <w:rsid w:val="3F3003E3"/>
    <w:rsid w:val="3F404AEC"/>
    <w:rsid w:val="3F415A25"/>
    <w:rsid w:val="3F417922"/>
    <w:rsid w:val="3F562DA4"/>
    <w:rsid w:val="3F702B5D"/>
    <w:rsid w:val="3F7C7E57"/>
    <w:rsid w:val="3F8747D1"/>
    <w:rsid w:val="3F9F5405"/>
    <w:rsid w:val="3FAA4F49"/>
    <w:rsid w:val="3FCC7626"/>
    <w:rsid w:val="3FD61DC4"/>
    <w:rsid w:val="4013742E"/>
    <w:rsid w:val="401E7122"/>
    <w:rsid w:val="40321C27"/>
    <w:rsid w:val="403B6285"/>
    <w:rsid w:val="40465297"/>
    <w:rsid w:val="404A2D2D"/>
    <w:rsid w:val="4055001D"/>
    <w:rsid w:val="40650358"/>
    <w:rsid w:val="40676F1F"/>
    <w:rsid w:val="40773669"/>
    <w:rsid w:val="40796A47"/>
    <w:rsid w:val="408E1C59"/>
    <w:rsid w:val="40AE06E1"/>
    <w:rsid w:val="40B02EED"/>
    <w:rsid w:val="40B25B17"/>
    <w:rsid w:val="40B26EB6"/>
    <w:rsid w:val="40BF2E5F"/>
    <w:rsid w:val="40C357CC"/>
    <w:rsid w:val="40C8356D"/>
    <w:rsid w:val="40D67CD4"/>
    <w:rsid w:val="40D8669D"/>
    <w:rsid w:val="40E15DA2"/>
    <w:rsid w:val="40E32104"/>
    <w:rsid w:val="40F12EA0"/>
    <w:rsid w:val="40FB5DD9"/>
    <w:rsid w:val="410D39D1"/>
    <w:rsid w:val="410E2F73"/>
    <w:rsid w:val="410F0A7A"/>
    <w:rsid w:val="4110501B"/>
    <w:rsid w:val="411B5475"/>
    <w:rsid w:val="411C34F7"/>
    <w:rsid w:val="411E6E2F"/>
    <w:rsid w:val="411F783D"/>
    <w:rsid w:val="412A09F8"/>
    <w:rsid w:val="4134197D"/>
    <w:rsid w:val="413D6AC1"/>
    <w:rsid w:val="4145604A"/>
    <w:rsid w:val="41685BDF"/>
    <w:rsid w:val="4175201D"/>
    <w:rsid w:val="41811C18"/>
    <w:rsid w:val="418512B6"/>
    <w:rsid w:val="41967809"/>
    <w:rsid w:val="41A13D83"/>
    <w:rsid w:val="41A33A43"/>
    <w:rsid w:val="41AB5DC2"/>
    <w:rsid w:val="41C10226"/>
    <w:rsid w:val="41D77A50"/>
    <w:rsid w:val="41EB07B1"/>
    <w:rsid w:val="41F748F5"/>
    <w:rsid w:val="41F83B82"/>
    <w:rsid w:val="4202162C"/>
    <w:rsid w:val="421E7A61"/>
    <w:rsid w:val="422052AD"/>
    <w:rsid w:val="42223044"/>
    <w:rsid w:val="423114EB"/>
    <w:rsid w:val="423B39C7"/>
    <w:rsid w:val="42621F05"/>
    <w:rsid w:val="426D7C43"/>
    <w:rsid w:val="42740514"/>
    <w:rsid w:val="427B03C6"/>
    <w:rsid w:val="428B77C6"/>
    <w:rsid w:val="42A317AE"/>
    <w:rsid w:val="42CB3E74"/>
    <w:rsid w:val="42CB5EDD"/>
    <w:rsid w:val="42E85FE3"/>
    <w:rsid w:val="42ED6C7E"/>
    <w:rsid w:val="42F11441"/>
    <w:rsid w:val="42F663F7"/>
    <w:rsid w:val="43052D95"/>
    <w:rsid w:val="431D589C"/>
    <w:rsid w:val="4320661E"/>
    <w:rsid w:val="43330458"/>
    <w:rsid w:val="43380EA6"/>
    <w:rsid w:val="433D6546"/>
    <w:rsid w:val="43427B2D"/>
    <w:rsid w:val="436A0331"/>
    <w:rsid w:val="43724C7A"/>
    <w:rsid w:val="437C751E"/>
    <w:rsid w:val="437F5CDC"/>
    <w:rsid w:val="439D53FA"/>
    <w:rsid w:val="439F794F"/>
    <w:rsid w:val="43A1689B"/>
    <w:rsid w:val="43AB3067"/>
    <w:rsid w:val="43AB5413"/>
    <w:rsid w:val="43BC5F0E"/>
    <w:rsid w:val="43C94AD1"/>
    <w:rsid w:val="43D26F82"/>
    <w:rsid w:val="43FA239D"/>
    <w:rsid w:val="440D5E92"/>
    <w:rsid w:val="441173D5"/>
    <w:rsid w:val="441C5E0F"/>
    <w:rsid w:val="441E6F9B"/>
    <w:rsid w:val="444B1F63"/>
    <w:rsid w:val="445F16F0"/>
    <w:rsid w:val="446C4722"/>
    <w:rsid w:val="44701968"/>
    <w:rsid w:val="447D4153"/>
    <w:rsid w:val="448D4505"/>
    <w:rsid w:val="44A534F3"/>
    <w:rsid w:val="44AF1D60"/>
    <w:rsid w:val="44B9602A"/>
    <w:rsid w:val="44BC452C"/>
    <w:rsid w:val="44C24F57"/>
    <w:rsid w:val="44C536D5"/>
    <w:rsid w:val="44C91254"/>
    <w:rsid w:val="44CA000C"/>
    <w:rsid w:val="44CA3F93"/>
    <w:rsid w:val="44CA7EC8"/>
    <w:rsid w:val="44CE1895"/>
    <w:rsid w:val="44D810B2"/>
    <w:rsid w:val="44F64D5A"/>
    <w:rsid w:val="45155839"/>
    <w:rsid w:val="451E0320"/>
    <w:rsid w:val="45310FB6"/>
    <w:rsid w:val="4534303F"/>
    <w:rsid w:val="453E344D"/>
    <w:rsid w:val="454062AD"/>
    <w:rsid w:val="45422664"/>
    <w:rsid w:val="45636650"/>
    <w:rsid w:val="45653AEF"/>
    <w:rsid w:val="456E414F"/>
    <w:rsid w:val="457A6F0F"/>
    <w:rsid w:val="457A7A7D"/>
    <w:rsid w:val="4589681A"/>
    <w:rsid w:val="458C6F02"/>
    <w:rsid w:val="458D722E"/>
    <w:rsid w:val="4599213B"/>
    <w:rsid w:val="45A21BA3"/>
    <w:rsid w:val="45AB670E"/>
    <w:rsid w:val="45AE341E"/>
    <w:rsid w:val="45AF65A8"/>
    <w:rsid w:val="45B1308C"/>
    <w:rsid w:val="45BB3818"/>
    <w:rsid w:val="45C34996"/>
    <w:rsid w:val="45CC1B40"/>
    <w:rsid w:val="45EA52DB"/>
    <w:rsid w:val="45ED39E9"/>
    <w:rsid w:val="460A3090"/>
    <w:rsid w:val="46125A5C"/>
    <w:rsid w:val="46167D48"/>
    <w:rsid w:val="46261890"/>
    <w:rsid w:val="4636138F"/>
    <w:rsid w:val="46462B35"/>
    <w:rsid w:val="46526A63"/>
    <w:rsid w:val="4656311A"/>
    <w:rsid w:val="465B3321"/>
    <w:rsid w:val="46666B1A"/>
    <w:rsid w:val="46681A41"/>
    <w:rsid w:val="46884ADF"/>
    <w:rsid w:val="469768F2"/>
    <w:rsid w:val="4698730A"/>
    <w:rsid w:val="469A0956"/>
    <w:rsid w:val="46B92C45"/>
    <w:rsid w:val="46BA233B"/>
    <w:rsid w:val="46C00E85"/>
    <w:rsid w:val="46C21E0B"/>
    <w:rsid w:val="46C43A84"/>
    <w:rsid w:val="46CA2F25"/>
    <w:rsid w:val="46CE45B1"/>
    <w:rsid w:val="46D12565"/>
    <w:rsid w:val="46DB2BD6"/>
    <w:rsid w:val="46DC520E"/>
    <w:rsid w:val="46DE2FAF"/>
    <w:rsid w:val="46F27996"/>
    <w:rsid w:val="4702746A"/>
    <w:rsid w:val="47064326"/>
    <w:rsid w:val="47142235"/>
    <w:rsid w:val="4719318C"/>
    <w:rsid w:val="472A1022"/>
    <w:rsid w:val="472A2EA5"/>
    <w:rsid w:val="472A3AA3"/>
    <w:rsid w:val="472B4D1D"/>
    <w:rsid w:val="472C7059"/>
    <w:rsid w:val="47320DB3"/>
    <w:rsid w:val="47321C0A"/>
    <w:rsid w:val="47455A41"/>
    <w:rsid w:val="474F2742"/>
    <w:rsid w:val="47511D19"/>
    <w:rsid w:val="4762171B"/>
    <w:rsid w:val="47687DED"/>
    <w:rsid w:val="47731BF9"/>
    <w:rsid w:val="47825395"/>
    <w:rsid w:val="47860EE5"/>
    <w:rsid w:val="47AB7401"/>
    <w:rsid w:val="47BD0438"/>
    <w:rsid w:val="47CA2A40"/>
    <w:rsid w:val="47D963D9"/>
    <w:rsid w:val="47DF7E3D"/>
    <w:rsid w:val="47F15C60"/>
    <w:rsid w:val="4811266F"/>
    <w:rsid w:val="48283523"/>
    <w:rsid w:val="482D08BF"/>
    <w:rsid w:val="483E413C"/>
    <w:rsid w:val="484F480C"/>
    <w:rsid w:val="487414FC"/>
    <w:rsid w:val="487C2508"/>
    <w:rsid w:val="48846F0D"/>
    <w:rsid w:val="48A062F2"/>
    <w:rsid w:val="48A453E6"/>
    <w:rsid w:val="48B2763B"/>
    <w:rsid w:val="48C318C0"/>
    <w:rsid w:val="48CD19F4"/>
    <w:rsid w:val="48CE0863"/>
    <w:rsid w:val="48DF641D"/>
    <w:rsid w:val="48EC2FA8"/>
    <w:rsid w:val="48F376F8"/>
    <w:rsid w:val="49022E35"/>
    <w:rsid w:val="4906231B"/>
    <w:rsid w:val="49332491"/>
    <w:rsid w:val="49391D63"/>
    <w:rsid w:val="49406AA3"/>
    <w:rsid w:val="49445DDD"/>
    <w:rsid w:val="49562306"/>
    <w:rsid w:val="49777CC7"/>
    <w:rsid w:val="497A0FB9"/>
    <w:rsid w:val="49894665"/>
    <w:rsid w:val="498E698C"/>
    <w:rsid w:val="499702C7"/>
    <w:rsid w:val="499B1764"/>
    <w:rsid w:val="49BD3C08"/>
    <w:rsid w:val="49C758E5"/>
    <w:rsid w:val="49D447A6"/>
    <w:rsid w:val="4A083EF5"/>
    <w:rsid w:val="4A0B3F63"/>
    <w:rsid w:val="4A2339EE"/>
    <w:rsid w:val="4A2418EF"/>
    <w:rsid w:val="4A2C4D85"/>
    <w:rsid w:val="4A3C691D"/>
    <w:rsid w:val="4A43261A"/>
    <w:rsid w:val="4A453052"/>
    <w:rsid w:val="4A4F50F5"/>
    <w:rsid w:val="4A60267F"/>
    <w:rsid w:val="4A611228"/>
    <w:rsid w:val="4A6E5D46"/>
    <w:rsid w:val="4A6F3587"/>
    <w:rsid w:val="4A8107DA"/>
    <w:rsid w:val="4A8D03DE"/>
    <w:rsid w:val="4A967576"/>
    <w:rsid w:val="4A9814E0"/>
    <w:rsid w:val="4A996D87"/>
    <w:rsid w:val="4A9A4335"/>
    <w:rsid w:val="4AA224B9"/>
    <w:rsid w:val="4AB82FEE"/>
    <w:rsid w:val="4ABE1FC2"/>
    <w:rsid w:val="4AC64B39"/>
    <w:rsid w:val="4ADC50D0"/>
    <w:rsid w:val="4ADE6087"/>
    <w:rsid w:val="4AF12943"/>
    <w:rsid w:val="4AF22C04"/>
    <w:rsid w:val="4B3B1108"/>
    <w:rsid w:val="4B595948"/>
    <w:rsid w:val="4B7D3FBB"/>
    <w:rsid w:val="4B8417E8"/>
    <w:rsid w:val="4BB31D90"/>
    <w:rsid w:val="4BB71DD0"/>
    <w:rsid w:val="4BBB41D5"/>
    <w:rsid w:val="4BBB6F6A"/>
    <w:rsid w:val="4BC1782D"/>
    <w:rsid w:val="4BC70395"/>
    <w:rsid w:val="4BC91255"/>
    <w:rsid w:val="4BCA5A96"/>
    <w:rsid w:val="4BD17A09"/>
    <w:rsid w:val="4BDD2DCC"/>
    <w:rsid w:val="4BDE034D"/>
    <w:rsid w:val="4BE87E8B"/>
    <w:rsid w:val="4BF8078B"/>
    <w:rsid w:val="4BFC6BAB"/>
    <w:rsid w:val="4C081C80"/>
    <w:rsid w:val="4C1458E3"/>
    <w:rsid w:val="4C1516F3"/>
    <w:rsid w:val="4C180472"/>
    <w:rsid w:val="4C184D83"/>
    <w:rsid w:val="4C275854"/>
    <w:rsid w:val="4C402F16"/>
    <w:rsid w:val="4C947253"/>
    <w:rsid w:val="4C957900"/>
    <w:rsid w:val="4C985833"/>
    <w:rsid w:val="4CAA48D8"/>
    <w:rsid w:val="4CAF1D44"/>
    <w:rsid w:val="4CCA790C"/>
    <w:rsid w:val="4CD35080"/>
    <w:rsid w:val="4CD76E00"/>
    <w:rsid w:val="4CDF2AE6"/>
    <w:rsid w:val="4CE20FFA"/>
    <w:rsid w:val="4CEF09E1"/>
    <w:rsid w:val="4D1D062A"/>
    <w:rsid w:val="4D1E432F"/>
    <w:rsid w:val="4D2B1ED8"/>
    <w:rsid w:val="4D395380"/>
    <w:rsid w:val="4D437F97"/>
    <w:rsid w:val="4D506C7D"/>
    <w:rsid w:val="4D5349C2"/>
    <w:rsid w:val="4D6A5D23"/>
    <w:rsid w:val="4D795C18"/>
    <w:rsid w:val="4D7D6995"/>
    <w:rsid w:val="4D831D28"/>
    <w:rsid w:val="4D863E28"/>
    <w:rsid w:val="4D952B7B"/>
    <w:rsid w:val="4D9B26F4"/>
    <w:rsid w:val="4DAD22EB"/>
    <w:rsid w:val="4DBC4C23"/>
    <w:rsid w:val="4DDF514F"/>
    <w:rsid w:val="4DE570E4"/>
    <w:rsid w:val="4E1711D8"/>
    <w:rsid w:val="4E2F7EE7"/>
    <w:rsid w:val="4E313FAA"/>
    <w:rsid w:val="4E447D74"/>
    <w:rsid w:val="4E4978A2"/>
    <w:rsid w:val="4E4B46BE"/>
    <w:rsid w:val="4E5B36DD"/>
    <w:rsid w:val="4E763901"/>
    <w:rsid w:val="4E9A703F"/>
    <w:rsid w:val="4E9B46E2"/>
    <w:rsid w:val="4E9E1A5F"/>
    <w:rsid w:val="4EA5533F"/>
    <w:rsid w:val="4EA9523F"/>
    <w:rsid w:val="4EB11F5C"/>
    <w:rsid w:val="4EB82FE3"/>
    <w:rsid w:val="4EB83545"/>
    <w:rsid w:val="4EBC73A5"/>
    <w:rsid w:val="4EC05529"/>
    <w:rsid w:val="4EC45F92"/>
    <w:rsid w:val="4ECD0A8E"/>
    <w:rsid w:val="4EF05652"/>
    <w:rsid w:val="4F104BCC"/>
    <w:rsid w:val="4F161490"/>
    <w:rsid w:val="4F300027"/>
    <w:rsid w:val="4F3701CB"/>
    <w:rsid w:val="4F5F3536"/>
    <w:rsid w:val="4F6F3A75"/>
    <w:rsid w:val="4F800161"/>
    <w:rsid w:val="4F80616E"/>
    <w:rsid w:val="4F8846B1"/>
    <w:rsid w:val="4F8A01BD"/>
    <w:rsid w:val="4F8D0841"/>
    <w:rsid w:val="4F933F64"/>
    <w:rsid w:val="4F9745EC"/>
    <w:rsid w:val="4FA2783A"/>
    <w:rsid w:val="4FA34632"/>
    <w:rsid w:val="4FA541F9"/>
    <w:rsid w:val="4FB618FD"/>
    <w:rsid w:val="4FC02C9C"/>
    <w:rsid w:val="4FD60F8B"/>
    <w:rsid w:val="4FDB78F9"/>
    <w:rsid w:val="4FFC33C9"/>
    <w:rsid w:val="50010216"/>
    <w:rsid w:val="50107C4B"/>
    <w:rsid w:val="50110284"/>
    <w:rsid w:val="502F6FAD"/>
    <w:rsid w:val="503D7A6E"/>
    <w:rsid w:val="504D64F4"/>
    <w:rsid w:val="505E0D03"/>
    <w:rsid w:val="5066618D"/>
    <w:rsid w:val="508C5E2C"/>
    <w:rsid w:val="50934071"/>
    <w:rsid w:val="509F24CD"/>
    <w:rsid w:val="50A11ABE"/>
    <w:rsid w:val="50AE55C5"/>
    <w:rsid w:val="50B3315E"/>
    <w:rsid w:val="50B8413A"/>
    <w:rsid w:val="50BF0FC3"/>
    <w:rsid w:val="50CD20DA"/>
    <w:rsid w:val="50F27F7C"/>
    <w:rsid w:val="510B7C69"/>
    <w:rsid w:val="511E1BD6"/>
    <w:rsid w:val="5124111E"/>
    <w:rsid w:val="51267D0A"/>
    <w:rsid w:val="512A2B6E"/>
    <w:rsid w:val="513B522A"/>
    <w:rsid w:val="514202FC"/>
    <w:rsid w:val="514D06B8"/>
    <w:rsid w:val="514E2532"/>
    <w:rsid w:val="514F6AD4"/>
    <w:rsid w:val="51513A44"/>
    <w:rsid w:val="515F66C6"/>
    <w:rsid w:val="51771133"/>
    <w:rsid w:val="51781AD6"/>
    <w:rsid w:val="518E0A45"/>
    <w:rsid w:val="51A64C4C"/>
    <w:rsid w:val="51BA2614"/>
    <w:rsid w:val="51C56554"/>
    <w:rsid w:val="51CD153A"/>
    <w:rsid w:val="51D52E33"/>
    <w:rsid w:val="51E63D2F"/>
    <w:rsid w:val="51F36E46"/>
    <w:rsid w:val="51F70857"/>
    <w:rsid w:val="51FF6294"/>
    <w:rsid w:val="52032E92"/>
    <w:rsid w:val="5207315B"/>
    <w:rsid w:val="520C1A04"/>
    <w:rsid w:val="521B66EF"/>
    <w:rsid w:val="521D60B5"/>
    <w:rsid w:val="522965F8"/>
    <w:rsid w:val="524A0CA1"/>
    <w:rsid w:val="524E4629"/>
    <w:rsid w:val="524F6B64"/>
    <w:rsid w:val="525008AD"/>
    <w:rsid w:val="525B6512"/>
    <w:rsid w:val="52645AB0"/>
    <w:rsid w:val="526B1115"/>
    <w:rsid w:val="526F383D"/>
    <w:rsid w:val="528B483B"/>
    <w:rsid w:val="52931405"/>
    <w:rsid w:val="529720F8"/>
    <w:rsid w:val="52AC3553"/>
    <w:rsid w:val="52AF3B8A"/>
    <w:rsid w:val="52BE46AE"/>
    <w:rsid w:val="52C145B6"/>
    <w:rsid w:val="52DE6BD9"/>
    <w:rsid w:val="52E11DD7"/>
    <w:rsid w:val="531A47F4"/>
    <w:rsid w:val="531F68FA"/>
    <w:rsid w:val="532D0B14"/>
    <w:rsid w:val="532F0520"/>
    <w:rsid w:val="5341485C"/>
    <w:rsid w:val="534E6418"/>
    <w:rsid w:val="535F2055"/>
    <w:rsid w:val="536421A2"/>
    <w:rsid w:val="5367707E"/>
    <w:rsid w:val="536F7F30"/>
    <w:rsid w:val="537C0056"/>
    <w:rsid w:val="53850921"/>
    <w:rsid w:val="538B709B"/>
    <w:rsid w:val="538C592A"/>
    <w:rsid w:val="538E0B37"/>
    <w:rsid w:val="53AB351B"/>
    <w:rsid w:val="53B76D92"/>
    <w:rsid w:val="53DA2655"/>
    <w:rsid w:val="53E837D9"/>
    <w:rsid w:val="53E9713E"/>
    <w:rsid w:val="53F261B0"/>
    <w:rsid w:val="53F8058E"/>
    <w:rsid w:val="53FB1439"/>
    <w:rsid w:val="53FD002C"/>
    <w:rsid w:val="53FF733B"/>
    <w:rsid w:val="54034256"/>
    <w:rsid w:val="54054213"/>
    <w:rsid w:val="540A2810"/>
    <w:rsid w:val="540F6582"/>
    <w:rsid w:val="5418337B"/>
    <w:rsid w:val="541E26ED"/>
    <w:rsid w:val="54476536"/>
    <w:rsid w:val="54494708"/>
    <w:rsid w:val="54704A84"/>
    <w:rsid w:val="54851363"/>
    <w:rsid w:val="548D27A4"/>
    <w:rsid w:val="54914FA7"/>
    <w:rsid w:val="54981F0B"/>
    <w:rsid w:val="549C48ED"/>
    <w:rsid w:val="54A22FDE"/>
    <w:rsid w:val="54AE201E"/>
    <w:rsid w:val="54C62500"/>
    <w:rsid w:val="54CF35D5"/>
    <w:rsid w:val="54D03E17"/>
    <w:rsid w:val="54D37CD6"/>
    <w:rsid w:val="54D7372C"/>
    <w:rsid w:val="54E044BD"/>
    <w:rsid w:val="54F6464F"/>
    <w:rsid w:val="54FA13EA"/>
    <w:rsid w:val="55023E0D"/>
    <w:rsid w:val="550B45E5"/>
    <w:rsid w:val="550C2A1F"/>
    <w:rsid w:val="553F6B4E"/>
    <w:rsid w:val="5545332E"/>
    <w:rsid w:val="55475B74"/>
    <w:rsid w:val="554D4C51"/>
    <w:rsid w:val="55520353"/>
    <w:rsid w:val="55522CD4"/>
    <w:rsid w:val="55546199"/>
    <w:rsid w:val="555E1782"/>
    <w:rsid w:val="55837A9B"/>
    <w:rsid w:val="55A27785"/>
    <w:rsid w:val="55AA2CBB"/>
    <w:rsid w:val="55BA762E"/>
    <w:rsid w:val="56037026"/>
    <w:rsid w:val="560C5D53"/>
    <w:rsid w:val="561B0DC1"/>
    <w:rsid w:val="56213847"/>
    <w:rsid w:val="562C2CC1"/>
    <w:rsid w:val="563073F8"/>
    <w:rsid w:val="5647032A"/>
    <w:rsid w:val="56515B0A"/>
    <w:rsid w:val="56555F9B"/>
    <w:rsid w:val="56593D34"/>
    <w:rsid w:val="565C28E1"/>
    <w:rsid w:val="5666523E"/>
    <w:rsid w:val="566C6C83"/>
    <w:rsid w:val="567850DF"/>
    <w:rsid w:val="5686047B"/>
    <w:rsid w:val="56B64E2B"/>
    <w:rsid w:val="56BA09BD"/>
    <w:rsid w:val="56E07607"/>
    <w:rsid w:val="56E10A60"/>
    <w:rsid w:val="56E15183"/>
    <w:rsid w:val="56E87E45"/>
    <w:rsid w:val="56F64349"/>
    <w:rsid w:val="56FF0262"/>
    <w:rsid w:val="5720536E"/>
    <w:rsid w:val="57256329"/>
    <w:rsid w:val="5745414E"/>
    <w:rsid w:val="57573B47"/>
    <w:rsid w:val="57656CC9"/>
    <w:rsid w:val="57823CAB"/>
    <w:rsid w:val="57825A7E"/>
    <w:rsid w:val="57864C13"/>
    <w:rsid w:val="579A17C6"/>
    <w:rsid w:val="57A00C15"/>
    <w:rsid w:val="57A641B5"/>
    <w:rsid w:val="57C145FE"/>
    <w:rsid w:val="57C227A7"/>
    <w:rsid w:val="57E253F0"/>
    <w:rsid w:val="57FE20CD"/>
    <w:rsid w:val="58093983"/>
    <w:rsid w:val="580B00D5"/>
    <w:rsid w:val="580F4133"/>
    <w:rsid w:val="58117112"/>
    <w:rsid w:val="58145DE1"/>
    <w:rsid w:val="5818070B"/>
    <w:rsid w:val="581B297B"/>
    <w:rsid w:val="583D4A58"/>
    <w:rsid w:val="583E0B8C"/>
    <w:rsid w:val="58422C29"/>
    <w:rsid w:val="584D090D"/>
    <w:rsid w:val="58543F45"/>
    <w:rsid w:val="5862614A"/>
    <w:rsid w:val="58634850"/>
    <w:rsid w:val="58683B70"/>
    <w:rsid w:val="58827A95"/>
    <w:rsid w:val="588A65D2"/>
    <w:rsid w:val="588D677F"/>
    <w:rsid w:val="589376E5"/>
    <w:rsid w:val="589A28A9"/>
    <w:rsid w:val="589A68AE"/>
    <w:rsid w:val="58A02DB4"/>
    <w:rsid w:val="58C0238C"/>
    <w:rsid w:val="58CB6968"/>
    <w:rsid w:val="58CE3277"/>
    <w:rsid w:val="58D553A2"/>
    <w:rsid w:val="58D938CB"/>
    <w:rsid w:val="58D9715D"/>
    <w:rsid w:val="58F60A7E"/>
    <w:rsid w:val="59070CAD"/>
    <w:rsid w:val="59077DFA"/>
    <w:rsid w:val="591C2FB4"/>
    <w:rsid w:val="592449EB"/>
    <w:rsid w:val="59285C5D"/>
    <w:rsid w:val="593E5EED"/>
    <w:rsid w:val="59497093"/>
    <w:rsid w:val="59544EB3"/>
    <w:rsid w:val="59583F81"/>
    <w:rsid w:val="59652E09"/>
    <w:rsid w:val="59764E2A"/>
    <w:rsid w:val="59780E79"/>
    <w:rsid w:val="597E1C3E"/>
    <w:rsid w:val="5987413B"/>
    <w:rsid w:val="59945957"/>
    <w:rsid w:val="59CD559A"/>
    <w:rsid w:val="59EA364B"/>
    <w:rsid w:val="5A026B1F"/>
    <w:rsid w:val="5A1F6201"/>
    <w:rsid w:val="5A343484"/>
    <w:rsid w:val="5A37311F"/>
    <w:rsid w:val="5A45092D"/>
    <w:rsid w:val="5A4F69BA"/>
    <w:rsid w:val="5A554E8B"/>
    <w:rsid w:val="5A757CE2"/>
    <w:rsid w:val="5A7D04E4"/>
    <w:rsid w:val="5A8710E2"/>
    <w:rsid w:val="5A8B2570"/>
    <w:rsid w:val="5A9F5199"/>
    <w:rsid w:val="5AC43862"/>
    <w:rsid w:val="5AC63F65"/>
    <w:rsid w:val="5AF12CBC"/>
    <w:rsid w:val="5AFE21C8"/>
    <w:rsid w:val="5B23198A"/>
    <w:rsid w:val="5B2C07FA"/>
    <w:rsid w:val="5B2F47B3"/>
    <w:rsid w:val="5B3C169F"/>
    <w:rsid w:val="5B7533D2"/>
    <w:rsid w:val="5B8718B3"/>
    <w:rsid w:val="5B884090"/>
    <w:rsid w:val="5B9A0BBD"/>
    <w:rsid w:val="5B9F6571"/>
    <w:rsid w:val="5BBE0150"/>
    <w:rsid w:val="5BC44750"/>
    <w:rsid w:val="5BCB686F"/>
    <w:rsid w:val="5BE00D2B"/>
    <w:rsid w:val="5BEC32B1"/>
    <w:rsid w:val="5BF75F46"/>
    <w:rsid w:val="5BFC597E"/>
    <w:rsid w:val="5C030045"/>
    <w:rsid w:val="5C0E3216"/>
    <w:rsid w:val="5C1E0259"/>
    <w:rsid w:val="5C426309"/>
    <w:rsid w:val="5C5244B7"/>
    <w:rsid w:val="5C693E23"/>
    <w:rsid w:val="5C6A0B71"/>
    <w:rsid w:val="5C805564"/>
    <w:rsid w:val="5C8E40AB"/>
    <w:rsid w:val="5C983FB2"/>
    <w:rsid w:val="5C994909"/>
    <w:rsid w:val="5C9B0DA4"/>
    <w:rsid w:val="5CA36047"/>
    <w:rsid w:val="5CA418D5"/>
    <w:rsid w:val="5CAE4E53"/>
    <w:rsid w:val="5CB04940"/>
    <w:rsid w:val="5CC86058"/>
    <w:rsid w:val="5D0E4943"/>
    <w:rsid w:val="5D0F4349"/>
    <w:rsid w:val="5D1E0F78"/>
    <w:rsid w:val="5D336DFB"/>
    <w:rsid w:val="5D373DB1"/>
    <w:rsid w:val="5D385517"/>
    <w:rsid w:val="5D3A7F23"/>
    <w:rsid w:val="5D7D5ABC"/>
    <w:rsid w:val="5D810181"/>
    <w:rsid w:val="5D81455C"/>
    <w:rsid w:val="5D8B290D"/>
    <w:rsid w:val="5D8D49C9"/>
    <w:rsid w:val="5D927276"/>
    <w:rsid w:val="5D9668E8"/>
    <w:rsid w:val="5D9D097B"/>
    <w:rsid w:val="5DC0732E"/>
    <w:rsid w:val="5DC61E90"/>
    <w:rsid w:val="5DC66DC6"/>
    <w:rsid w:val="5DCA5B93"/>
    <w:rsid w:val="5DE10F0A"/>
    <w:rsid w:val="5DF5565E"/>
    <w:rsid w:val="5E0B5C9E"/>
    <w:rsid w:val="5E1C0AAA"/>
    <w:rsid w:val="5E2319FB"/>
    <w:rsid w:val="5E5527BF"/>
    <w:rsid w:val="5E826BFE"/>
    <w:rsid w:val="5E862EA2"/>
    <w:rsid w:val="5E945BE5"/>
    <w:rsid w:val="5EAA469A"/>
    <w:rsid w:val="5EBE5E7A"/>
    <w:rsid w:val="5ED23688"/>
    <w:rsid w:val="5ED55161"/>
    <w:rsid w:val="5EF03615"/>
    <w:rsid w:val="5EF559D0"/>
    <w:rsid w:val="5EF6356E"/>
    <w:rsid w:val="5F053B25"/>
    <w:rsid w:val="5F0E0555"/>
    <w:rsid w:val="5F143EC1"/>
    <w:rsid w:val="5F1A042D"/>
    <w:rsid w:val="5F1C161F"/>
    <w:rsid w:val="5F1C339D"/>
    <w:rsid w:val="5F240496"/>
    <w:rsid w:val="5F3F78FA"/>
    <w:rsid w:val="5F4A727E"/>
    <w:rsid w:val="5F4D5184"/>
    <w:rsid w:val="5F550B72"/>
    <w:rsid w:val="5F5715D1"/>
    <w:rsid w:val="5F755EBF"/>
    <w:rsid w:val="5F792341"/>
    <w:rsid w:val="5F815D7C"/>
    <w:rsid w:val="5F821ACE"/>
    <w:rsid w:val="5F865B21"/>
    <w:rsid w:val="5F8724C8"/>
    <w:rsid w:val="5F965E18"/>
    <w:rsid w:val="5FAD5ED9"/>
    <w:rsid w:val="5FB55D39"/>
    <w:rsid w:val="5FF91908"/>
    <w:rsid w:val="5FFC7E83"/>
    <w:rsid w:val="600D27A7"/>
    <w:rsid w:val="60201A67"/>
    <w:rsid w:val="60273469"/>
    <w:rsid w:val="603A7714"/>
    <w:rsid w:val="6044770A"/>
    <w:rsid w:val="60474BF5"/>
    <w:rsid w:val="604F4260"/>
    <w:rsid w:val="605B7292"/>
    <w:rsid w:val="606A1272"/>
    <w:rsid w:val="60777055"/>
    <w:rsid w:val="607F6196"/>
    <w:rsid w:val="60825C34"/>
    <w:rsid w:val="60852794"/>
    <w:rsid w:val="60877B4E"/>
    <w:rsid w:val="6089604C"/>
    <w:rsid w:val="60A13B47"/>
    <w:rsid w:val="60A50F89"/>
    <w:rsid w:val="60A83B4E"/>
    <w:rsid w:val="60B44B7B"/>
    <w:rsid w:val="60B7239F"/>
    <w:rsid w:val="60BD2B8D"/>
    <w:rsid w:val="60C14132"/>
    <w:rsid w:val="60D55FEC"/>
    <w:rsid w:val="60DB2181"/>
    <w:rsid w:val="60DB4077"/>
    <w:rsid w:val="60DF062E"/>
    <w:rsid w:val="60EE6F9A"/>
    <w:rsid w:val="610239AE"/>
    <w:rsid w:val="61075201"/>
    <w:rsid w:val="610C3296"/>
    <w:rsid w:val="610D382B"/>
    <w:rsid w:val="61287311"/>
    <w:rsid w:val="612D04A9"/>
    <w:rsid w:val="614A53F5"/>
    <w:rsid w:val="61611F64"/>
    <w:rsid w:val="61943758"/>
    <w:rsid w:val="619664C2"/>
    <w:rsid w:val="619818F4"/>
    <w:rsid w:val="619F35F9"/>
    <w:rsid w:val="61A1051A"/>
    <w:rsid w:val="61A65FB1"/>
    <w:rsid w:val="61B30920"/>
    <w:rsid w:val="61BE25FA"/>
    <w:rsid w:val="61BF07A2"/>
    <w:rsid w:val="61DA10EE"/>
    <w:rsid w:val="61EA2565"/>
    <w:rsid w:val="61EA48D0"/>
    <w:rsid w:val="61F02833"/>
    <w:rsid w:val="61F432BD"/>
    <w:rsid w:val="61FA6FF7"/>
    <w:rsid w:val="620C07EA"/>
    <w:rsid w:val="62146A9E"/>
    <w:rsid w:val="62226757"/>
    <w:rsid w:val="62557846"/>
    <w:rsid w:val="625D5CD4"/>
    <w:rsid w:val="6263516A"/>
    <w:rsid w:val="626949A2"/>
    <w:rsid w:val="627129EB"/>
    <w:rsid w:val="6283221E"/>
    <w:rsid w:val="62925A7F"/>
    <w:rsid w:val="629D55E5"/>
    <w:rsid w:val="62A3769E"/>
    <w:rsid w:val="62A77729"/>
    <w:rsid w:val="62B23386"/>
    <w:rsid w:val="62C6788D"/>
    <w:rsid w:val="62C868C4"/>
    <w:rsid w:val="62E153F6"/>
    <w:rsid w:val="62FB5C63"/>
    <w:rsid w:val="62FF2874"/>
    <w:rsid w:val="63083F64"/>
    <w:rsid w:val="63092D2E"/>
    <w:rsid w:val="631549CA"/>
    <w:rsid w:val="632D35E8"/>
    <w:rsid w:val="633128A3"/>
    <w:rsid w:val="633D3B0E"/>
    <w:rsid w:val="633F17E8"/>
    <w:rsid w:val="633F3504"/>
    <w:rsid w:val="63692327"/>
    <w:rsid w:val="636B5628"/>
    <w:rsid w:val="638339FC"/>
    <w:rsid w:val="638E16E4"/>
    <w:rsid w:val="63C70C81"/>
    <w:rsid w:val="63D94CBF"/>
    <w:rsid w:val="64083681"/>
    <w:rsid w:val="640F0992"/>
    <w:rsid w:val="640F5481"/>
    <w:rsid w:val="641A7AB5"/>
    <w:rsid w:val="6423554A"/>
    <w:rsid w:val="642360DF"/>
    <w:rsid w:val="64306BDE"/>
    <w:rsid w:val="643C1219"/>
    <w:rsid w:val="6445266D"/>
    <w:rsid w:val="644B34E7"/>
    <w:rsid w:val="644D2BE3"/>
    <w:rsid w:val="644E4FF8"/>
    <w:rsid w:val="64553745"/>
    <w:rsid w:val="647607CA"/>
    <w:rsid w:val="648467A5"/>
    <w:rsid w:val="648B4194"/>
    <w:rsid w:val="64926FCE"/>
    <w:rsid w:val="64946980"/>
    <w:rsid w:val="64967681"/>
    <w:rsid w:val="649E52F9"/>
    <w:rsid w:val="64AE7F66"/>
    <w:rsid w:val="64C451DE"/>
    <w:rsid w:val="64DB21FC"/>
    <w:rsid w:val="64EF022B"/>
    <w:rsid w:val="64F83DC2"/>
    <w:rsid w:val="65042C9E"/>
    <w:rsid w:val="65062686"/>
    <w:rsid w:val="65097A9C"/>
    <w:rsid w:val="650D0752"/>
    <w:rsid w:val="6512124F"/>
    <w:rsid w:val="65185DEB"/>
    <w:rsid w:val="651C3A6F"/>
    <w:rsid w:val="653135EA"/>
    <w:rsid w:val="6546234A"/>
    <w:rsid w:val="65465B21"/>
    <w:rsid w:val="654E6042"/>
    <w:rsid w:val="65574131"/>
    <w:rsid w:val="657B113B"/>
    <w:rsid w:val="657C528E"/>
    <w:rsid w:val="6586668B"/>
    <w:rsid w:val="65966C15"/>
    <w:rsid w:val="65974042"/>
    <w:rsid w:val="659E61B5"/>
    <w:rsid w:val="659F6818"/>
    <w:rsid w:val="65AC4F77"/>
    <w:rsid w:val="65C97BC9"/>
    <w:rsid w:val="65D618C3"/>
    <w:rsid w:val="65D81309"/>
    <w:rsid w:val="65E17890"/>
    <w:rsid w:val="65F97432"/>
    <w:rsid w:val="66254960"/>
    <w:rsid w:val="66260C97"/>
    <w:rsid w:val="66275CE9"/>
    <w:rsid w:val="663959B0"/>
    <w:rsid w:val="66771A11"/>
    <w:rsid w:val="6693117D"/>
    <w:rsid w:val="66931D01"/>
    <w:rsid w:val="669F7C89"/>
    <w:rsid w:val="66A9279F"/>
    <w:rsid w:val="66AE145F"/>
    <w:rsid w:val="66AF667E"/>
    <w:rsid w:val="66C00DCC"/>
    <w:rsid w:val="66C13297"/>
    <w:rsid w:val="66C53554"/>
    <w:rsid w:val="66D61554"/>
    <w:rsid w:val="66DE1D9E"/>
    <w:rsid w:val="66EE38C2"/>
    <w:rsid w:val="66F27FE5"/>
    <w:rsid w:val="66FC5A8C"/>
    <w:rsid w:val="670415F0"/>
    <w:rsid w:val="67056359"/>
    <w:rsid w:val="670B171A"/>
    <w:rsid w:val="67136FD6"/>
    <w:rsid w:val="672219E0"/>
    <w:rsid w:val="67362528"/>
    <w:rsid w:val="675C3182"/>
    <w:rsid w:val="676F5CC5"/>
    <w:rsid w:val="67713E35"/>
    <w:rsid w:val="67822B31"/>
    <w:rsid w:val="679B01A3"/>
    <w:rsid w:val="67AB2EE8"/>
    <w:rsid w:val="67B30BBB"/>
    <w:rsid w:val="67BF09B2"/>
    <w:rsid w:val="67CD7284"/>
    <w:rsid w:val="67E277A1"/>
    <w:rsid w:val="67F5598D"/>
    <w:rsid w:val="6809117D"/>
    <w:rsid w:val="680C3A65"/>
    <w:rsid w:val="6810543D"/>
    <w:rsid w:val="681C7EF0"/>
    <w:rsid w:val="683A461D"/>
    <w:rsid w:val="68400846"/>
    <w:rsid w:val="6840675F"/>
    <w:rsid w:val="684D6898"/>
    <w:rsid w:val="686407E2"/>
    <w:rsid w:val="687A7953"/>
    <w:rsid w:val="68846713"/>
    <w:rsid w:val="688D5E8D"/>
    <w:rsid w:val="689322F9"/>
    <w:rsid w:val="68950E39"/>
    <w:rsid w:val="689542B6"/>
    <w:rsid w:val="68A43A96"/>
    <w:rsid w:val="68A45935"/>
    <w:rsid w:val="68B769C7"/>
    <w:rsid w:val="68CB49AE"/>
    <w:rsid w:val="68D234C2"/>
    <w:rsid w:val="68DC51AC"/>
    <w:rsid w:val="68E6629E"/>
    <w:rsid w:val="68F30759"/>
    <w:rsid w:val="68F55C04"/>
    <w:rsid w:val="69021EB8"/>
    <w:rsid w:val="690A2B6C"/>
    <w:rsid w:val="69122989"/>
    <w:rsid w:val="69293B00"/>
    <w:rsid w:val="692E149A"/>
    <w:rsid w:val="693947C3"/>
    <w:rsid w:val="69442501"/>
    <w:rsid w:val="69470440"/>
    <w:rsid w:val="69524B33"/>
    <w:rsid w:val="695B6719"/>
    <w:rsid w:val="696C3532"/>
    <w:rsid w:val="69783CBC"/>
    <w:rsid w:val="697C39A7"/>
    <w:rsid w:val="69837C48"/>
    <w:rsid w:val="698D3D4E"/>
    <w:rsid w:val="699F3632"/>
    <w:rsid w:val="69B5108C"/>
    <w:rsid w:val="69B764BD"/>
    <w:rsid w:val="69C81DDD"/>
    <w:rsid w:val="69E01341"/>
    <w:rsid w:val="69E66377"/>
    <w:rsid w:val="69F03CC1"/>
    <w:rsid w:val="69F77B29"/>
    <w:rsid w:val="6A136C34"/>
    <w:rsid w:val="6A1D77FB"/>
    <w:rsid w:val="6A272AE4"/>
    <w:rsid w:val="6A2A76D1"/>
    <w:rsid w:val="6A2D211F"/>
    <w:rsid w:val="6A3016A0"/>
    <w:rsid w:val="6A411961"/>
    <w:rsid w:val="6A4B7555"/>
    <w:rsid w:val="6A5731F9"/>
    <w:rsid w:val="6A593799"/>
    <w:rsid w:val="6A6040B3"/>
    <w:rsid w:val="6A6C7339"/>
    <w:rsid w:val="6A8E0801"/>
    <w:rsid w:val="6A924220"/>
    <w:rsid w:val="6A9F4039"/>
    <w:rsid w:val="6AA02E57"/>
    <w:rsid w:val="6AB14A1E"/>
    <w:rsid w:val="6AB92EC7"/>
    <w:rsid w:val="6ABB1801"/>
    <w:rsid w:val="6ABB6E9B"/>
    <w:rsid w:val="6AFF552D"/>
    <w:rsid w:val="6B1B3901"/>
    <w:rsid w:val="6B3A0FC6"/>
    <w:rsid w:val="6B3B0F90"/>
    <w:rsid w:val="6B3E3873"/>
    <w:rsid w:val="6B471C4E"/>
    <w:rsid w:val="6B547C9E"/>
    <w:rsid w:val="6B5D5A71"/>
    <w:rsid w:val="6B6532E7"/>
    <w:rsid w:val="6B670B7A"/>
    <w:rsid w:val="6B7C20DC"/>
    <w:rsid w:val="6B866337"/>
    <w:rsid w:val="6B9B29D7"/>
    <w:rsid w:val="6BBE0D2F"/>
    <w:rsid w:val="6BD504A3"/>
    <w:rsid w:val="6BDE1C9F"/>
    <w:rsid w:val="6BE10BC3"/>
    <w:rsid w:val="6BE32AEE"/>
    <w:rsid w:val="6BE53120"/>
    <w:rsid w:val="6BF009C9"/>
    <w:rsid w:val="6C3449B9"/>
    <w:rsid w:val="6C3B701F"/>
    <w:rsid w:val="6C565F2D"/>
    <w:rsid w:val="6C5822E2"/>
    <w:rsid w:val="6C5B1CEE"/>
    <w:rsid w:val="6C677252"/>
    <w:rsid w:val="6C6A762C"/>
    <w:rsid w:val="6C7D1658"/>
    <w:rsid w:val="6C8865AD"/>
    <w:rsid w:val="6C8E59E5"/>
    <w:rsid w:val="6CA7069E"/>
    <w:rsid w:val="6CAA519A"/>
    <w:rsid w:val="6CBC1965"/>
    <w:rsid w:val="6CCB0D76"/>
    <w:rsid w:val="6CDD6FFA"/>
    <w:rsid w:val="6CDE5342"/>
    <w:rsid w:val="6CE05F74"/>
    <w:rsid w:val="6CEE7A55"/>
    <w:rsid w:val="6D250ACD"/>
    <w:rsid w:val="6D3847E4"/>
    <w:rsid w:val="6D3A0A8C"/>
    <w:rsid w:val="6D3E001C"/>
    <w:rsid w:val="6D5E1338"/>
    <w:rsid w:val="6D74752D"/>
    <w:rsid w:val="6D7D7D56"/>
    <w:rsid w:val="6D7F2A21"/>
    <w:rsid w:val="6D7F63CA"/>
    <w:rsid w:val="6D871A2F"/>
    <w:rsid w:val="6DCA56B5"/>
    <w:rsid w:val="6DCE25E5"/>
    <w:rsid w:val="6DD50DCA"/>
    <w:rsid w:val="6DD735C2"/>
    <w:rsid w:val="6DD73DC6"/>
    <w:rsid w:val="6DEC00F6"/>
    <w:rsid w:val="6DEC70BA"/>
    <w:rsid w:val="6DF237E2"/>
    <w:rsid w:val="6DFB1BFF"/>
    <w:rsid w:val="6E140B43"/>
    <w:rsid w:val="6E15415F"/>
    <w:rsid w:val="6E196BA4"/>
    <w:rsid w:val="6E1D3AA2"/>
    <w:rsid w:val="6E3C3D68"/>
    <w:rsid w:val="6E416BD9"/>
    <w:rsid w:val="6E422218"/>
    <w:rsid w:val="6E4E675E"/>
    <w:rsid w:val="6E542DA2"/>
    <w:rsid w:val="6E62315C"/>
    <w:rsid w:val="6E7B2DAE"/>
    <w:rsid w:val="6E8A6E68"/>
    <w:rsid w:val="6EA2603C"/>
    <w:rsid w:val="6EAD49B4"/>
    <w:rsid w:val="6EB645D4"/>
    <w:rsid w:val="6EC72866"/>
    <w:rsid w:val="6ED01AAA"/>
    <w:rsid w:val="6ED80089"/>
    <w:rsid w:val="6EDE2A2D"/>
    <w:rsid w:val="6EE64875"/>
    <w:rsid w:val="6EEA0C3F"/>
    <w:rsid w:val="6EEC5DF7"/>
    <w:rsid w:val="6EEE66A1"/>
    <w:rsid w:val="6EF43435"/>
    <w:rsid w:val="6EFF0676"/>
    <w:rsid w:val="6F14143C"/>
    <w:rsid w:val="6F464019"/>
    <w:rsid w:val="6F51018B"/>
    <w:rsid w:val="6F545405"/>
    <w:rsid w:val="6F5969B1"/>
    <w:rsid w:val="6F6C112D"/>
    <w:rsid w:val="6F725DCB"/>
    <w:rsid w:val="6F87748F"/>
    <w:rsid w:val="6F8D53FC"/>
    <w:rsid w:val="6FA73173"/>
    <w:rsid w:val="6FB84DB3"/>
    <w:rsid w:val="6FC14E15"/>
    <w:rsid w:val="6FD531DD"/>
    <w:rsid w:val="6FD74CC1"/>
    <w:rsid w:val="6FE56F46"/>
    <w:rsid w:val="6FED0496"/>
    <w:rsid w:val="70013902"/>
    <w:rsid w:val="702C786B"/>
    <w:rsid w:val="703B675A"/>
    <w:rsid w:val="705B31DB"/>
    <w:rsid w:val="70661403"/>
    <w:rsid w:val="70693353"/>
    <w:rsid w:val="706D3BB2"/>
    <w:rsid w:val="706E0087"/>
    <w:rsid w:val="7076638B"/>
    <w:rsid w:val="70A90028"/>
    <w:rsid w:val="70B316DF"/>
    <w:rsid w:val="70B75F8E"/>
    <w:rsid w:val="70C2347A"/>
    <w:rsid w:val="70C32404"/>
    <w:rsid w:val="70C568ED"/>
    <w:rsid w:val="70CC370F"/>
    <w:rsid w:val="70D2435A"/>
    <w:rsid w:val="70D46ECE"/>
    <w:rsid w:val="70D81577"/>
    <w:rsid w:val="70D934A9"/>
    <w:rsid w:val="70E17B64"/>
    <w:rsid w:val="70E437AD"/>
    <w:rsid w:val="70E9040A"/>
    <w:rsid w:val="70F50208"/>
    <w:rsid w:val="71025255"/>
    <w:rsid w:val="71082C63"/>
    <w:rsid w:val="7112429F"/>
    <w:rsid w:val="71174A68"/>
    <w:rsid w:val="71205403"/>
    <w:rsid w:val="712D0800"/>
    <w:rsid w:val="7154315A"/>
    <w:rsid w:val="718522A1"/>
    <w:rsid w:val="7199436A"/>
    <w:rsid w:val="71A238A4"/>
    <w:rsid w:val="71AD1C86"/>
    <w:rsid w:val="71C50D16"/>
    <w:rsid w:val="71C6457D"/>
    <w:rsid w:val="71D93B3F"/>
    <w:rsid w:val="71DA032C"/>
    <w:rsid w:val="71DE3804"/>
    <w:rsid w:val="71EC745E"/>
    <w:rsid w:val="71FD1922"/>
    <w:rsid w:val="72011CFF"/>
    <w:rsid w:val="72050EE5"/>
    <w:rsid w:val="72542349"/>
    <w:rsid w:val="726344C4"/>
    <w:rsid w:val="72660BF1"/>
    <w:rsid w:val="72677B35"/>
    <w:rsid w:val="726A73E3"/>
    <w:rsid w:val="726E70A1"/>
    <w:rsid w:val="72813DBC"/>
    <w:rsid w:val="72832766"/>
    <w:rsid w:val="728C083A"/>
    <w:rsid w:val="728C3C93"/>
    <w:rsid w:val="72935A36"/>
    <w:rsid w:val="72975142"/>
    <w:rsid w:val="729A0256"/>
    <w:rsid w:val="72AB6B63"/>
    <w:rsid w:val="72C34F21"/>
    <w:rsid w:val="72D10406"/>
    <w:rsid w:val="72EE72F6"/>
    <w:rsid w:val="72F215FE"/>
    <w:rsid w:val="72F8098F"/>
    <w:rsid w:val="73071C1B"/>
    <w:rsid w:val="730D5B96"/>
    <w:rsid w:val="731632A6"/>
    <w:rsid w:val="731F4335"/>
    <w:rsid w:val="73240127"/>
    <w:rsid w:val="733002B2"/>
    <w:rsid w:val="73421BF0"/>
    <w:rsid w:val="73617930"/>
    <w:rsid w:val="7365779B"/>
    <w:rsid w:val="7387717B"/>
    <w:rsid w:val="73882410"/>
    <w:rsid w:val="73A97C7A"/>
    <w:rsid w:val="73AA2557"/>
    <w:rsid w:val="73AE0A7C"/>
    <w:rsid w:val="73DF3CFB"/>
    <w:rsid w:val="73E473D5"/>
    <w:rsid w:val="73EA3B54"/>
    <w:rsid w:val="73FA56F6"/>
    <w:rsid w:val="7402633F"/>
    <w:rsid w:val="74057796"/>
    <w:rsid w:val="740E13AA"/>
    <w:rsid w:val="74194902"/>
    <w:rsid w:val="741E3561"/>
    <w:rsid w:val="74296D22"/>
    <w:rsid w:val="74315BF0"/>
    <w:rsid w:val="744652E9"/>
    <w:rsid w:val="744E5512"/>
    <w:rsid w:val="74586549"/>
    <w:rsid w:val="747964D2"/>
    <w:rsid w:val="747C177C"/>
    <w:rsid w:val="74C217B5"/>
    <w:rsid w:val="74C66255"/>
    <w:rsid w:val="74CD1B97"/>
    <w:rsid w:val="74CF13B0"/>
    <w:rsid w:val="74DA5F57"/>
    <w:rsid w:val="74DD65E9"/>
    <w:rsid w:val="74DE5F9D"/>
    <w:rsid w:val="74F6166C"/>
    <w:rsid w:val="74FE7B63"/>
    <w:rsid w:val="751806BE"/>
    <w:rsid w:val="751F6A26"/>
    <w:rsid w:val="752A1988"/>
    <w:rsid w:val="75344734"/>
    <w:rsid w:val="753656F2"/>
    <w:rsid w:val="753E0788"/>
    <w:rsid w:val="753F163F"/>
    <w:rsid w:val="754F6A5F"/>
    <w:rsid w:val="75630747"/>
    <w:rsid w:val="75643507"/>
    <w:rsid w:val="75840AB3"/>
    <w:rsid w:val="7584716B"/>
    <w:rsid w:val="7585090C"/>
    <w:rsid w:val="758F7D93"/>
    <w:rsid w:val="759A4133"/>
    <w:rsid w:val="75A94FFE"/>
    <w:rsid w:val="75B3064C"/>
    <w:rsid w:val="75BB5E2D"/>
    <w:rsid w:val="75D028A5"/>
    <w:rsid w:val="75D468A8"/>
    <w:rsid w:val="75E315F7"/>
    <w:rsid w:val="75F40374"/>
    <w:rsid w:val="75F41BAA"/>
    <w:rsid w:val="75F427ED"/>
    <w:rsid w:val="75F925F4"/>
    <w:rsid w:val="76320A3C"/>
    <w:rsid w:val="763450B4"/>
    <w:rsid w:val="76636D03"/>
    <w:rsid w:val="7690508B"/>
    <w:rsid w:val="76C54A99"/>
    <w:rsid w:val="76D17BC8"/>
    <w:rsid w:val="76DD38E3"/>
    <w:rsid w:val="76E679A6"/>
    <w:rsid w:val="76EB2832"/>
    <w:rsid w:val="76F31D25"/>
    <w:rsid w:val="771279AB"/>
    <w:rsid w:val="77202796"/>
    <w:rsid w:val="77223CE1"/>
    <w:rsid w:val="772527CF"/>
    <w:rsid w:val="77353B8F"/>
    <w:rsid w:val="77365EA1"/>
    <w:rsid w:val="773A0CF2"/>
    <w:rsid w:val="7746213B"/>
    <w:rsid w:val="77544AFE"/>
    <w:rsid w:val="775503D0"/>
    <w:rsid w:val="77593F75"/>
    <w:rsid w:val="77704DED"/>
    <w:rsid w:val="777C1C8C"/>
    <w:rsid w:val="777C7B8E"/>
    <w:rsid w:val="77821429"/>
    <w:rsid w:val="77841A4F"/>
    <w:rsid w:val="77871DE6"/>
    <w:rsid w:val="77872757"/>
    <w:rsid w:val="77883C6B"/>
    <w:rsid w:val="778A5F9E"/>
    <w:rsid w:val="778D31E5"/>
    <w:rsid w:val="77A20D9B"/>
    <w:rsid w:val="77BD1082"/>
    <w:rsid w:val="77CD6672"/>
    <w:rsid w:val="77D3146F"/>
    <w:rsid w:val="77D54132"/>
    <w:rsid w:val="77D7066B"/>
    <w:rsid w:val="77DF0875"/>
    <w:rsid w:val="780D6284"/>
    <w:rsid w:val="7812558A"/>
    <w:rsid w:val="781C1C50"/>
    <w:rsid w:val="7827770D"/>
    <w:rsid w:val="78283925"/>
    <w:rsid w:val="784E7B8A"/>
    <w:rsid w:val="78606FEB"/>
    <w:rsid w:val="78656A28"/>
    <w:rsid w:val="787F7F8C"/>
    <w:rsid w:val="78802460"/>
    <w:rsid w:val="788E0C7A"/>
    <w:rsid w:val="788E6268"/>
    <w:rsid w:val="789340EF"/>
    <w:rsid w:val="78A44E3C"/>
    <w:rsid w:val="78B64626"/>
    <w:rsid w:val="78B92A85"/>
    <w:rsid w:val="78D438B5"/>
    <w:rsid w:val="78D72D6B"/>
    <w:rsid w:val="78F26B78"/>
    <w:rsid w:val="78F916A5"/>
    <w:rsid w:val="78FC4079"/>
    <w:rsid w:val="78FF5DB2"/>
    <w:rsid w:val="78FF7A7A"/>
    <w:rsid w:val="79057E79"/>
    <w:rsid w:val="790C35DC"/>
    <w:rsid w:val="790F4FA4"/>
    <w:rsid w:val="791160A6"/>
    <w:rsid w:val="79184FA7"/>
    <w:rsid w:val="792E5160"/>
    <w:rsid w:val="7931026C"/>
    <w:rsid w:val="79382F6B"/>
    <w:rsid w:val="79755CCA"/>
    <w:rsid w:val="797635C4"/>
    <w:rsid w:val="79793DFC"/>
    <w:rsid w:val="79B132C7"/>
    <w:rsid w:val="79B168D5"/>
    <w:rsid w:val="79B95F2D"/>
    <w:rsid w:val="79BC1C63"/>
    <w:rsid w:val="79BF0410"/>
    <w:rsid w:val="79C32F74"/>
    <w:rsid w:val="79CD71AD"/>
    <w:rsid w:val="79CD724F"/>
    <w:rsid w:val="79E272A9"/>
    <w:rsid w:val="79F83C35"/>
    <w:rsid w:val="7A1405CD"/>
    <w:rsid w:val="7A15246E"/>
    <w:rsid w:val="7A220EB4"/>
    <w:rsid w:val="7A350F01"/>
    <w:rsid w:val="7A393E96"/>
    <w:rsid w:val="7A4412B6"/>
    <w:rsid w:val="7A4C63C8"/>
    <w:rsid w:val="7A512576"/>
    <w:rsid w:val="7A603982"/>
    <w:rsid w:val="7A6E7C36"/>
    <w:rsid w:val="7A725023"/>
    <w:rsid w:val="7A7942DA"/>
    <w:rsid w:val="7A872038"/>
    <w:rsid w:val="7A9332DF"/>
    <w:rsid w:val="7A994D05"/>
    <w:rsid w:val="7A9B106E"/>
    <w:rsid w:val="7AA26906"/>
    <w:rsid w:val="7ABC2062"/>
    <w:rsid w:val="7AC468CF"/>
    <w:rsid w:val="7AD930B0"/>
    <w:rsid w:val="7AE30EEC"/>
    <w:rsid w:val="7AE7249C"/>
    <w:rsid w:val="7AF02CE9"/>
    <w:rsid w:val="7AF459DB"/>
    <w:rsid w:val="7B0E24C8"/>
    <w:rsid w:val="7B192EDB"/>
    <w:rsid w:val="7B2278B3"/>
    <w:rsid w:val="7B4856EB"/>
    <w:rsid w:val="7B4B5E3A"/>
    <w:rsid w:val="7B551E3E"/>
    <w:rsid w:val="7B61586B"/>
    <w:rsid w:val="7B640DC2"/>
    <w:rsid w:val="7B6B0569"/>
    <w:rsid w:val="7B8E2353"/>
    <w:rsid w:val="7B9D5E27"/>
    <w:rsid w:val="7BA22230"/>
    <w:rsid w:val="7BBB66B5"/>
    <w:rsid w:val="7BC82852"/>
    <w:rsid w:val="7BC85640"/>
    <w:rsid w:val="7BDD430F"/>
    <w:rsid w:val="7BE02731"/>
    <w:rsid w:val="7BE575EC"/>
    <w:rsid w:val="7BF85F7F"/>
    <w:rsid w:val="7BFC224C"/>
    <w:rsid w:val="7BFD1D2D"/>
    <w:rsid w:val="7C1E792E"/>
    <w:rsid w:val="7C2D6ABD"/>
    <w:rsid w:val="7C3B0F6E"/>
    <w:rsid w:val="7C451380"/>
    <w:rsid w:val="7C4A0F32"/>
    <w:rsid w:val="7C4A4E7D"/>
    <w:rsid w:val="7C4E2626"/>
    <w:rsid w:val="7C5341B4"/>
    <w:rsid w:val="7C5958A5"/>
    <w:rsid w:val="7C6378C7"/>
    <w:rsid w:val="7C751B8E"/>
    <w:rsid w:val="7C7A1904"/>
    <w:rsid w:val="7C8807DE"/>
    <w:rsid w:val="7C8D57E6"/>
    <w:rsid w:val="7C9F433C"/>
    <w:rsid w:val="7CAC58C8"/>
    <w:rsid w:val="7CBA750B"/>
    <w:rsid w:val="7CBD0BC3"/>
    <w:rsid w:val="7CC11D78"/>
    <w:rsid w:val="7CCA509E"/>
    <w:rsid w:val="7CE23958"/>
    <w:rsid w:val="7CE367EF"/>
    <w:rsid w:val="7CF53CE0"/>
    <w:rsid w:val="7CFA7ED8"/>
    <w:rsid w:val="7D083FC7"/>
    <w:rsid w:val="7D0C3818"/>
    <w:rsid w:val="7D2F187D"/>
    <w:rsid w:val="7D3023E6"/>
    <w:rsid w:val="7D3D6400"/>
    <w:rsid w:val="7D402863"/>
    <w:rsid w:val="7D463A7E"/>
    <w:rsid w:val="7D49694C"/>
    <w:rsid w:val="7D5A331D"/>
    <w:rsid w:val="7D903478"/>
    <w:rsid w:val="7DAC115A"/>
    <w:rsid w:val="7DBB18EA"/>
    <w:rsid w:val="7DBD6B84"/>
    <w:rsid w:val="7DE169CC"/>
    <w:rsid w:val="7DE40195"/>
    <w:rsid w:val="7DE757EA"/>
    <w:rsid w:val="7DEE1221"/>
    <w:rsid w:val="7DF03CAD"/>
    <w:rsid w:val="7DF26245"/>
    <w:rsid w:val="7DF4354A"/>
    <w:rsid w:val="7DF57992"/>
    <w:rsid w:val="7DF94E84"/>
    <w:rsid w:val="7DFF49F7"/>
    <w:rsid w:val="7E146E42"/>
    <w:rsid w:val="7E1C14C9"/>
    <w:rsid w:val="7E2C5E4E"/>
    <w:rsid w:val="7E4345A0"/>
    <w:rsid w:val="7E446BD5"/>
    <w:rsid w:val="7E4F1B9C"/>
    <w:rsid w:val="7E503B33"/>
    <w:rsid w:val="7E5101C5"/>
    <w:rsid w:val="7E546872"/>
    <w:rsid w:val="7E561C7C"/>
    <w:rsid w:val="7E685502"/>
    <w:rsid w:val="7E7C7C04"/>
    <w:rsid w:val="7E960400"/>
    <w:rsid w:val="7EA11F2E"/>
    <w:rsid w:val="7EA84AC0"/>
    <w:rsid w:val="7EAC2FCD"/>
    <w:rsid w:val="7EAC49D8"/>
    <w:rsid w:val="7EAD76D0"/>
    <w:rsid w:val="7EAF3CD8"/>
    <w:rsid w:val="7EB65B2F"/>
    <w:rsid w:val="7ECD0C47"/>
    <w:rsid w:val="7ECE651E"/>
    <w:rsid w:val="7ED01D76"/>
    <w:rsid w:val="7EF551D1"/>
    <w:rsid w:val="7EF557A7"/>
    <w:rsid w:val="7F044E3F"/>
    <w:rsid w:val="7F0B6FDB"/>
    <w:rsid w:val="7F0C4585"/>
    <w:rsid w:val="7F337C1D"/>
    <w:rsid w:val="7F38644D"/>
    <w:rsid w:val="7F3A0AD4"/>
    <w:rsid w:val="7F4D7AF8"/>
    <w:rsid w:val="7F53237F"/>
    <w:rsid w:val="7F59747A"/>
    <w:rsid w:val="7F5F1070"/>
    <w:rsid w:val="7F656E5D"/>
    <w:rsid w:val="7F6E736C"/>
    <w:rsid w:val="7F806EE8"/>
    <w:rsid w:val="7F8B28BB"/>
    <w:rsid w:val="7F8D01D2"/>
    <w:rsid w:val="7FA60AB6"/>
    <w:rsid w:val="7FA901C2"/>
    <w:rsid w:val="7FAA6717"/>
    <w:rsid w:val="7FCA1806"/>
    <w:rsid w:val="7FCB0941"/>
    <w:rsid w:val="7FE320C4"/>
    <w:rsid w:val="7FEB375E"/>
    <w:rsid w:val="7FFC4ED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dashstyle="dash"/>
    </o:shapedefaults>
    <o:shapelayout v:ext="edit">
      <o:idmap v:ext="edit" data="2"/>
      <o:rules v:ext="edit">
        <o:r id="V:Rule1" type="connector" idref="#直接箭头连接符 87"/>
        <o:r id="V:Rule2" type="connector" idref="#直接箭头连接符 89"/>
        <o:r id="V:Rule3" type="connector" idref="#直接箭头连接符 91"/>
        <o:r id="V:Rule4" type="connector" idref="#直接箭头连接符 92"/>
        <o:r id="V:Rule5" type="connector" idref="#直接箭头连接符 96"/>
        <o:r id="V:Rule6" type="connector" idref="#直接箭头连接符 107"/>
        <o:r id="V:Rule7" type="connector" idref="#直接箭头连接符 110"/>
        <o:r id="V:Rule8" type="connector" idref="#直接箭头连接符 112"/>
        <o:r id="V:Rule9" type="connector" idref="#直接箭头连接符 121"/>
        <o:r id="V:Rule10" type="connector" idref="#AutoShape 258"/>
        <o:r id="V:Rule11" type="connector" idref="#_x0000_s2129"/>
        <o:r id="V:Rule12" type="connector" idref="#_x0000_s2131"/>
        <o:r id="V:Rule13" type="connector" idref="#_x0000_s2133"/>
        <o:r id="V:Rule14" type="connector" idref="#直接箭头连接符 16"/>
        <o:r id="V:Rule15" type="connector" idref="#直接箭头连接符 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uiPriority="99" w:name="footnote reference"/>
    <w:lsdException w:qFormat="1" w:unhideWhenUsed="0" w:uiPriority="0" w:semiHidden="0" w:name="annotation reference"/>
    <w:lsdException w:qFormat="1" w:unhideWhenUsed="0" w:uiPriority="99" w:semiHidden="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0"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6"/>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97"/>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98"/>
    <w:qFormat/>
    <w:uiPriority w:val="0"/>
    <w:pPr>
      <w:keepNext/>
      <w:keepLines/>
      <w:spacing w:before="260" w:after="260" w:line="413" w:lineRule="auto"/>
      <w:outlineLvl w:val="2"/>
    </w:pPr>
    <w:rPr>
      <w:b/>
      <w:bCs/>
      <w:sz w:val="32"/>
      <w:szCs w:val="32"/>
    </w:rPr>
  </w:style>
  <w:style w:type="paragraph" w:styleId="7">
    <w:name w:val="heading 4"/>
    <w:basedOn w:val="1"/>
    <w:next w:val="1"/>
    <w:link w:val="99"/>
    <w:qFormat/>
    <w:uiPriority w:val="9"/>
    <w:pPr>
      <w:keepNext/>
      <w:keepLines/>
      <w:spacing w:before="280" w:after="290" w:line="372" w:lineRule="auto"/>
      <w:outlineLvl w:val="3"/>
    </w:pPr>
    <w:rPr>
      <w:rFonts w:ascii="Arial" w:hAnsi="Arial" w:eastAsia="黑体"/>
      <w:b/>
      <w:bCs/>
      <w:sz w:val="28"/>
      <w:szCs w:val="28"/>
    </w:rPr>
  </w:style>
  <w:style w:type="paragraph" w:styleId="8">
    <w:name w:val="heading 5"/>
    <w:basedOn w:val="1"/>
    <w:next w:val="9"/>
    <w:link w:val="101"/>
    <w:qFormat/>
    <w:uiPriority w:val="9"/>
    <w:pPr>
      <w:keepNext/>
      <w:spacing w:line="360" w:lineRule="exact"/>
      <w:jc w:val="center"/>
      <w:outlineLvl w:val="4"/>
    </w:pPr>
    <w:rPr>
      <w:rFonts w:ascii="宋体"/>
      <w:b/>
      <w:szCs w:val="20"/>
    </w:rPr>
  </w:style>
  <w:style w:type="paragraph" w:styleId="10">
    <w:name w:val="heading 6"/>
    <w:basedOn w:val="1"/>
    <w:next w:val="1"/>
    <w:link w:val="102"/>
    <w:qFormat/>
    <w:uiPriority w:val="9"/>
    <w:pPr>
      <w:keepNext/>
      <w:widowControl/>
      <w:tabs>
        <w:tab w:val="left" w:pos="2520"/>
      </w:tabs>
      <w:spacing w:before="40" w:after="40"/>
      <w:ind w:left="3600"/>
      <w:outlineLvl w:val="5"/>
    </w:pPr>
    <w:rPr>
      <w:rFonts w:ascii="宋体"/>
      <w:b/>
      <w:color w:val="000000"/>
      <w:kern w:val="0"/>
      <w:sz w:val="24"/>
      <w:szCs w:val="20"/>
    </w:rPr>
  </w:style>
  <w:style w:type="paragraph" w:styleId="11">
    <w:name w:val="heading 7"/>
    <w:basedOn w:val="1"/>
    <w:next w:val="1"/>
    <w:link w:val="103"/>
    <w:qFormat/>
    <w:uiPriority w:val="9"/>
    <w:pPr>
      <w:keepNext/>
      <w:widowControl/>
      <w:shd w:val="pct5" w:color="auto" w:fill="auto"/>
      <w:tabs>
        <w:tab w:val="left" w:pos="4680"/>
      </w:tabs>
      <w:spacing w:after="120"/>
      <w:ind w:left="4320"/>
      <w:jc w:val="left"/>
      <w:outlineLvl w:val="6"/>
    </w:pPr>
    <w:rPr>
      <w:rFonts w:ascii="宋体"/>
      <w:b/>
      <w:i/>
      <w:color w:val="000000"/>
      <w:kern w:val="0"/>
      <w:sz w:val="24"/>
      <w:szCs w:val="20"/>
    </w:rPr>
  </w:style>
  <w:style w:type="paragraph" w:styleId="12">
    <w:name w:val="heading 8"/>
    <w:basedOn w:val="1"/>
    <w:next w:val="1"/>
    <w:link w:val="104"/>
    <w:qFormat/>
    <w:uiPriority w:val="9"/>
    <w:pPr>
      <w:keepNext/>
      <w:widowControl/>
      <w:tabs>
        <w:tab w:val="left" w:pos="5400"/>
      </w:tabs>
      <w:spacing w:line="360" w:lineRule="auto"/>
      <w:ind w:left="5040"/>
      <w:jc w:val="left"/>
      <w:outlineLvl w:val="7"/>
    </w:pPr>
    <w:rPr>
      <w:rFonts w:ascii="宋体"/>
      <w:b/>
      <w:color w:val="000000"/>
      <w:kern w:val="0"/>
      <w:sz w:val="24"/>
      <w:szCs w:val="20"/>
    </w:rPr>
  </w:style>
  <w:style w:type="paragraph" w:styleId="13">
    <w:name w:val="heading 9"/>
    <w:basedOn w:val="1"/>
    <w:next w:val="1"/>
    <w:link w:val="105"/>
    <w:qFormat/>
    <w:uiPriority w:val="9"/>
    <w:pPr>
      <w:keepNext/>
      <w:widowControl/>
      <w:tabs>
        <w:tab w:val="left" w:pos="6120"/>
      </w:tabs>
      <w:spacing w:line="360" w:lineRule="auto"/>
      <w:ind w:left="5760"/>
      <w:jc w:val="left"/>
      <w:outlineLvl w:val="8"/>
    </w:pPr>
    <w:rPr>
      <w:rFonts w:ascii="宋体"/>
      <w:color w:val="000000"/>
      <w:kern w:val="0"/>
      <w:sz w:val="24"/>
      <w:szCs w:val="20"/>
      <w:u w:val="single"/>
    </w:rPr>
  </w:style>
  <w:style w:type="character" w:default="1" w:styleId="79">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23"/>
    <w:qFormat/>
    <w:uiPriority w:val="0"/>
    <w:pPr>
      <w:ind w:firstLine="420" w:firstLineChars="200"/>
    </w:pPr>
  </w:style>
  <w:style w:type="paragraph" w:styleId="3">
    <w:name w:val="Body Text Indent"/>
    <w:basedOn w:val="1"/>
    <w:link w:val="116"/>
    <w:qFormat/>
    <w:uiPriority w:val="99"/>
    <w:pPr>
      <w:spacing w:after="120"/>
      <w:ind w:left="420" w:leftChars="200"/>
    </w:pPr>
  </w:style>
  <w:style w:type="paragraph" w:styleId="9">
    <w:name w:val="Normal Indent"/>
    <w:basedOn w:val="1"/>
    <w:link w:val="100"/>
    <w:qFormat/>
    <w:uiPriority w:val="0"/>
    <w:pPr>
      <w:adjustRightInd w:val="0"/>
      <w:ind w:firstLine="420"/>
      <w:textAlignment w:val="baseline"/>
    </w:pPr>
    <w:rPr>
      <w:szCs w:val="20"/>
    </w:rPr>
  </w:style>
  <w:style w:type="paragraph" w:styleId="14">
    <w:name w:val="List 3"/>
    <w:basedOn w:val="1"/>
    <w:qFormat/>
    <w:uiPriority w:val="99"/>
    <w:pPr>
      <w:ind w:left="100" w:leftChars="400" w:hanging="200" w:hangingChars="200"/>
    </w:pPr>
  </w:style>
  <w:style w:type="paragraph" w:styleId="15">
    <w:name w:val="toc 7"/>
    <w:basedOn w:val="1"/>
    <w:next w:val="1"/>
    <w:qFormat/>
    <w:uiPriority w:val="39"/>
    <w:pPr>
      <w:ind w:left="1260"/>
      <w:jc w:val="left"/>
    </w:pPr>
    <w:rPr>
      <w:sz w:val="18"/>
      <w:szCs w:val="18"/>
    </w:rPr>
  </w:style>
  <w:style w:type="paragraph" w:styleId="16">
    <w:name w:val="List Number 2"/>
    <w:basedOn w:val="1"/>
    <w:qFormat/>
    <w:uiPriority w:val="99"/>
    <w:pPr>
      <w:tabs>
        <w:tab w:val="left" w:pos="780"/>
      </w:tabs>
      <w:ind w:left="780" w:hanging="360"/>
    </w:pPr>
  </w:style>
  <w:style w:type="paragraph" w:styleId="17">
    <w:name w:val="table of authorities"/>
    <w:basedOn w:val="1"/>
    <w:next w:val="1"/>
    <w:qFormat/>
    <w:uiPriority w:val="99"/>
    <w:pPr>
      <w:ind w:left="420" w:leftChars="200"/>
    </w:pPr>
  </w:style>
  <w:style w:type="paragraph" w:styleId="18">
    <w:name w:val="Note Heading"/>
    <w:basedOn w:val="1"/>
    <w:next w:val="1"/>
    <w:link w:val="110"/>
    <w:qFormat/>
    <w:uiPriority w:val="0"/>
    <w:pPr>
      <w:jc w:val="center"/>
    </w:pPr>
  </w:style>
  <w:style w:type="paragraph" w:styleId="19">
    <w:name w:val="List Bullet 4"/>
    <w:basedOn w:val="1"/>
    <w:qFormat/>
    <w:uiPriority w:val="99"/>
    <w:pPr>
      <w:tabs>
        <w:tab w:val="left" w:pos="1620"/>
      </w:tabs>
      <w:ind w:left="1620" w:hanging="360"/>
    </w:pPr>
  </w:style>
  <w:style w:type="paragraph" w:styleId="20">
    <w:name w:val="E-mail Signature"/>
    <w:basedOn w:val="1"/>
    <w:link w:val="111"/>
    <w:qFormat/>
    <w:uiPriority w:val="99"/>
  </w:style>
  <w:style w:type="paragraph" w:styleId="21">
    <w:name w:val="List Number"/>
    <w:basedOn w:val="1"/>
    <w:qFormat/>
    <w:uiPriority w:val="99"/>
    <w:pPr>
      <w:tabs>
        <w:tab w:val="left" w:pos="360"/>
      </w:tabs>
      <w:ind w:left="360" w:hanging="360"/>
    </w:pPr>
  </w:style>
  <w:style w:type="paragraph" w:styleId="22">
    <w:name w:val="List Bullet"/>
    <w:basedOn w:val="1"/>
    <w:qFormat/>
    <w:uiPriority w:val="99"/>
    <w:pPr>
      <w:tabs>
        <w:tab w:val="left" w:pos="360"/>
      </w:tabs>
      <w:ind w:left="360" w:hanging="360"/>
    </w:pPr>
  </w:style>
  <w:style w:type="paragraph" w:styleId="23">
    <w:name w:val="envelope address"/>
    <w:basedOn w:val="1"/>
    <w:qFormat/>
    <w:uiPriority w:val="99"/>
    <w:pPr>
      <w:snapToGrid w:val="0"/>
      <w:ind w:left="100" w:leftChars="1400"/>
    </w:pPr>
    <w:rPr>
      <w:rFonts w:ascii="Arial" w:hAnsi="Arial" w:cs="Arial"/>
      <w:sz w:val="24"/>
    </w:rPr>
  </w:style>
  <w:style w:type="paragraph" w:styleId="24">
    <w:name w:val="Document Map"/>
    <w:basedOn w:val="1"/>
    <w:link w:val="112"/>
    <w:qFormat/>
    <w:uiPriority w:val="0"/>
    <w:pPr>
      <w:shd w:val="clear" w:color="auto" w:fill="000080"/>
    </w:pPr>
  </w:style>
  <w:style w:type="paragraph" w:styleId="25">
    <w:name w:val="toa heading"/>
    <w:basedOn w:val="1"/>
    <w:next w:val="1"/>
    <w:qFormat/>
    <w:uiPriority w:val="99"/>
    <w:pPr>
      <w:spacing w:before="120"/>
    </w:pPr>
    <w:rPr>
      <w:rFonts w:ascii="Arial" w:hAnsi="Arial"/>
      <w:b/>
      <w:bCs/>
    </w:rPr>
  </w:style>
  <w:style w:type="paragraph" w:styleId="26">
    <w:name w:val="annotation text"/>
    <w:basedOn w:val="1"/>
    <w:link w:val="106"/>
    <w:qFormat/>
    <w:uiPriority w:val="0"/>
    <w:pPr>
      <w:jc w:val="left"/>
    </w:pPr>
    <w:rPr>
      <w:rFonts w:ascii="Plotter" w:hAnsi="Plotter"/>
    </w:rPr>
  </w:style>
  <w:style w:type="paragraph" w:styleId="27">
    <w:name w:val="Salutation"/>
    <w:basedOn w:val="1"/>
    <w:next w:val="1"/>
    <w:link w:val="113"/>
    <w:qFormat/>
    <w:uiPriority w:val="99"/>
  </w:style>
  <w:style w:type="paragraph" w:styleId="28">
    <w:name w:val="Body Text 3"/>
    <w:basedOn w:val="1"/>
    <w:link w:val="114"/>
    <w:qFormat/>
    <w:uiPriority w:val="99"/>
    <w:rPr>
      <w:rFonts w:ascii="黑体" w:hAnsi="宋体" w:eastAsia="黑体"/>
      <w:b/>
      <w:bCs/>
      <w:sz w:val="30"/>
    </w:rPr>
  </w:style>
  <w:style w:type="paragraph" w:styleId="29">
    <w:name w:val="Closing"/>
    <w:basedOn w:val="1"/>
    <w:link w:val="115"/>
    <w:qFormat/>
    <w:uiPriority w:val="99"/>
    <w:pPr>
      <w:ind w:left="100" w:leftChars="2100"/>
    </w:pPr>
  </w:style>
  <w:style w:type="paragraph" w:styleId="30">
    <w:name w:val="List Bullet 3"/>
    <w:basedOn w:val="1"/>
    <w:qFormat/>
    <w:uiPriority w:val="99"/>
    <w:pPr>
      <w:tabs>
        <w:tab w:val="left" w:pos="1200"/>
      </w:tabs>
      <w:ind w:left="1200" w:hanging="360"/>
    </w:pPr>
  </w:style>
  <w:style w:type="paragraph" w:styleId="31">
    <w:name w:val="Body Text"/>
    <w:basedOn w:val="1"/>
    <w:link w:val="108"/>
    <w:qFormat/>
    <w:uiPriority w:val="99"/>
    <w:pPr>
      <w:spacing w:after="120"/>
    </w:pPr>
  </w:style>
  <w:style w:type="paragraph" w:styleId="32">
    <w:name w:val="List Number 3"/>
    <w:basedOn w:val="1"/>
    <w:qFormat/>
    <w:uiPriority w:val="99"/>
    <w:pPr>
      <w:tabs>
        <w:tab w:val="left" w:pos="1200"/>
      </w:tabs>
      <w:ind w:left="1200" w:hanging="360"/>
    </w:pPr>
  </w:style>
  <w:style w:type="paragraph" w:styleId="33">
    <w:name w:val="List 2"/>
    <w:basedOn w:val="1"/>
    <w:qFormat/>
    <w:uiPriority w:val="99"/>
    <w:pPr>
      <w:ind w:left="100" w:leftChars="200" w:hanging="200" w:hangingChars="200"/>
    </w:pPr>
  </w:style>
  <w:style w:type="paragraph" w:styleId="34">
    <w:name w:val="List Continue"/>
    <w:basedOn w:val="1"/>
    <w:qFormat/>
    <w:uiPriority w:val="99"/>
    <w:pPr>
      <w:spacing w:after="120"/>
      <w:ind w:left="420" w:leftChars="200"/>
    </w:pPr>
  </w:style>
  <w:style w:type="paragraph" w:styleId="35">
    <w:name w:val="Block Text"/>
    <w:basedOn w:val="1"/>
    <w:qFormat/>
    <w:uiPriority w:val="99"/>
    <w:pPr>
      <w:ind w:left="-359" w:leftChars="-171" w:right="-334" w:rightChars="-159" w:firstLine="640" w:firstLineChars="200"/>
    </w:pPr>
    <w:rPr>
      <w:sz w:val="32"/>
    </w:rPr>
  </w:style>
  <w:style w:type="paragraph" w:styleId="36">
    <w:name w:val="List Bullet 2"/>
    <w:basedOn w:val="1"/>
    <w:qFormat/>
    <w:uiPriority w:val="99"/>
    <w:pPr>
      <w:tabs>
        <w:tab w:val="left" w:pos="780"/>
      </w:tabs>
      <w:ind w:left="780" w:hanging="360"/>
    </w:pPr>
  </w:style>
  <w:style w:type="paragraph" w:styleId="37">
    <w:name w:val="HTML Address"/>
    <w:basedOn w:val="1"/>
    <w:link w:val="117"/>
    <w:qFormat/>
    <w:uiPriority w:val="99"/>
    <w:rPr>
      <w:i/>
      <w:iCs/>
    </w:rPr>
  </w:style>
  <w:style w:type="paragraph" w:styleId="38">
    <w:name w:val="toc 5"/>
    <w:basedOn w:val="1"/>
    <w:next w:val="1"/>
    <w:qFormat/>
    <w:uiPriority w:val="39"/>
    <w:pPr>
      <w:ind w:left="840"/>
      <w:jc w:val="left"/>
    </w:pPr>
    <w:rPr>
      <w:sz w:val="18"/>
      <w:szCs w:val="18"/>
    </w:rPr>
  </w:style>
  <w:style w:type="paragraph" w:styleId="39">
    <w:name w:val="toc 3"/>
    <w:basedOn w:val="1"/>
    <w:next w:val="1"/>
    <w:qFormat/>
    <w:uiPriority w:val="39"/>
    <w:pPr>
      <w:ind w:left="420"/>
      <w:jc w:val="left"/>
    </w:pPr>
    <w:rPr>
      <w:i/>
      <w:iCs/>
      <w:sz w:val="20"/>
      <w:szCs w:val="20"/>
    </w:rPr>
  </w:style>
  <w:style w:type="paragraph" w:styleId="40">
    <w:name w:val="Plain Text"/>
    <w:basedOn w:val="1"/>
    <w:link w:val="118"/>
    <w:qFormat/>
    <w:uiPriority w:val="0"/>
    <w:pPr>
      <w:adjustRightInd w:val="0"/>
      <w:textAlignment w:val="baseline"/>
    </w:pPr>
    <w:rPr>
      <w:rFonts w:ascii="宋体" w:hAnsi="Courier New"/>
      <w:szCs w:val="21"/>
    </w:rPr>
  </w:style>
  <w:style w:type="paragraph" w:styleId="41">
    <w:name w:val="List Bullet 5"/>
    <w:basedOn w:val="1"/>
    <w:qFormat/>
    <w:uiPriority w:val="99"/>
    <w:pPr>
      <w:tabs>
        <w:tab w:val="left" w:pos="2040"/>
      </w:tabs>
      <w:ind w:left="2040" w:hanging="360"/>
    </w:pPr>
  </w:style>
  <w:style w:type="paragraph" w:styleId="42">
    <w:name w:val="List Number 4"/>
    <w:basedOn w:val="1"/>
    <w:qFormat/>
    <w:uiPriority w:val="99"/>
    <w:pPr>
      <w:tabs>
        <w:tab w:val="left" w:pos="1620"/>
      </w:tabs>
      <w:ind w:left="1620" w:hanging="360"/>
    </w:pPr>
  </w:style>
  <w:style w:type="paragraph" w:styleId="43">
    <w:name w:val="toc 8"/>
    <w:basedOn w:val="1"/>
    <w:next w:val="1"/>
    <w:qFormat/>
    <w:uiPriority w:val="39"/>
    <w:pPr>
      <w:ind w:left="1470"/>
      <w:jc w:val="left"/>
    </w:pPr>
    <w:rPr>
      <w:sz w:val="18"/>
      <w:szCs w:val="18"/>
    </w:rPr>
  </w:style>
  <w:style w:type="paragraph" w:styleId="44">
    <w:name w:val="Date"/>
    <w:basedOn w:val="1"/>
    <w:next w:val="1"/>
    <w:link w:val="119"/>
    <w:qFormat/>
    <w:uiPriority w:val="0"/>
    <w:rPr>
      <w:szCs w:val="20"/>
    </w:rPr>
  </w:style>
  <w:style w:type="paragraph" w:styleId="45">
    <w:name w:val="Body Text Indent 2"/>
    <w:basedOn w:val="1"/>
    <w:link w:val="120"/>
    <w:qFormat/>
    <w:uiPriority w:val="99"/>
    <w:pPr>
      <w:spacing w:line="420" w:lineRule="exact"/>
      <w:ind w:firstLine="525"/>
    </w:pPr>
    <w:rPr>
      <w:sz w:val="24"/>
    </w:rPr>
  </w:style>
  <w:style w:type="paragraph" w:styleId="46">
    <w:name w:val="endnote text"/>
    <w:basedOn w:val="1"/>
    <w:link w:val="364"/>
    <w:qFormat/>
    <w:uiPriority w:val="0"/>
    <w:pPr>
      <w:autoSpaceDE w:val="0"/>
      <w:autoSpaceDN w:val="0"/>
      <w:adjustRightInd w:val="0"/>
      <w:snapToGrid w:val="0"/>
      <w:spacing w:line="480" w:lineRule="exact"/>
      <w:jc w:val="left"/>
    </w:pPr>
    <w:rPr>
      <w:color w:val="000000"/>
      <w:kern w:val="32"/>
      <w:sz w:val="24"/>
      <w:szCs w:val="20"/>
    </w:rPr>
  </w:style>
  <w:style w:type="paragraph" w:styleId="47">
    <w:name w:val="List Continue 5"/>
    <w:basedOn w:val="1"/>
    <w:qFormat/>
    <w:uiPriority w:val="99"/>
    <w:pPr>
      <w:spacing w:after="120"/>
      <w:ind w:left="2100" w:leftChars="1000"/>
    </w:pPr>
  </w:style>
  <w:style w:type="paragraph" w:styleId="48">
    <w:name w:val="Balloon Text"/>
    <w:basedOn w:val="1"/>
    <w:link w:val="121"/>
    <w:qFormat/>
    <w:uiPriority w:val="0"/>
    <w:rPr>
      <w:sz w:val="18"/>
      <w:szCs w:val="18"/>
    </w:rPr>
  </w:style>
  <w:style w:type="paragraph" w:styleId="49">
    <w:name w:val="footer"/>
    <w:basedOn w:val="1"/>
    <w:link w:val="122"/>
    <w:qFormat/>
    <w:uiPriority w:val="0"/>
    <w:pPr>
      <w:tabs>
        <w:tab w:val="center" w:pos="4153"/>
        <w:tab w:val="right" w:pos="8306"/>
      </w:tabs>
      <w:snapToGrid w:val="0"/>
      <w:jc w:val="left"/>
    </w:pPr>
    <w:rPr>
      <w:sz w:val="18"/>
      <w:szCs w:val="18"/>
    </w:rPr>
  </w:style>
  <w:style w:type="paragraph" w:styleId="50">
    <w:name w:val="envelope return"/>
    <w:basedOn w:val="1"/>
    <w:qFormat/>
    <w:uiPriority w:val="99"/>
    <w:pPr>
      <w:snapToGrid w:val="0"/>
    </w:pPr>
    <w:rPr>
      <w:rFonts w:ascii="Arial" w:hAnsi="Arial" w:cs="Arial"/>
    </w:rPr>
  </w:style>
  <w:style w:type="paragraph" w:styleId="51">
    <w:name w:val="header"/>
    <w:basedOn w:val="1"/>
    <w:link w:val="124"/>
    <w:qFormat/>
    <w:uiPriority w:val="0"/>
    <w:pPr>
      <w:pBdr>
        <w:bottom w:val="single" w:color="auto" w:sz="6" w:space="1"/>
      </w:pBdr>
      <w:tabs>
        <w:tab w:val="center" w:pos="4153"/>
        <w:tab w:val="right" w:pos="8306"/>
      </w:tabs>
      <w:snapToGrid w:val="0"/>
      <w:jc w:val="center"/>
    </w:pPr>
    <w:rPr>
      <w:sz w:val="18"/>
      <w:szCs w:val="18"/>
    </w:rPr>
  </w:style>
  <w:style w:type="paragraph" w:styleId="52">
    <w:name w:val="Signature"/>
    <w:basedOn w:val="1"/>
    <w:link w:val="125"/>
    <w:qFormat/>
    <w:uiPriority w:val="99"/>
    <w:pPr>
      <w:ind w:left="100" w:leftChars="2100"/>
    </w:pPr>
  </w:style>
  <w:style w:type="paragraph" w:styleId="53">
    <w:name w:val="toc 1"/>
    <w:basedOn w:val="1"/>
    <w:next w:val="1"/>
    <w:qFormat/>
    <w:uiPriority w:val="39"/>
    <w:pPr>
      <w:spacing w:before="120" w:after="120"/>
      <w:jc w:val="left"/>
    </w:pPr>
    <w:rPr>
      <w:b/>
      <w:bCs/>
      <w:caps/>
      <w:sz w:val="20"/>
      <w:szCs w:val="20"/>
    </w:rPr>
  </w:style>
  <w:style w:type="paragraph" w:styleId="54">
    <w:name w:val="List Continue 4"/>
    <w:basedOn w:val="1"/>
    <w:qFormat/>
    <w:uiPriority w:val="99"/>
    <w:pPr>
      <w:spacing w:after="120"/>
      <w:ind w:left="1680" w:leftChars="800"/>
    </w:pPr>
  </w:style>
  <w:style w:type="paragraph" w:styleId="55">
    <w:name w:val="toc 4"/>
    <w:basedOn w:val="1"/>
    <w:next w:val="1"/>
    <w:qFormat/>
    <w:uiPriority w:val="39"/>
    <w:pPr>
      <w:ind w:left="630"/>
      <w:jc w:val="left"/>
    </w:pPr>
    <w:rPr>
      <w:sz w:val="18"/>
      <w:szCs w:val="18"/>
    </w:rPr>
  </w:style>
  <w:style w:type="paragraph" w:styleId="56">
    <w:name w:val="Subtitle"/>
    <w:basedOn w:val="1"/>
    <w:link w:val="126"/>
    <w:qFormat/>
    <w:uiPriority w:val="0"/>
    <w:pPr>
      <w:spacing w:before="240" w:after="60" w:line="312" w:lineRule="auto"/>
      <w:jc w:val="center"/>
      <w:outlineLvl w:val="1"/>
    </w:pPr>
    <w:rPr>
      <w:rFonts w:ascii="Arial" w:hAnsi="Arial" w:cs="Arial"/>
      <w:b/>
      <w:bCs/>
      <w:kern w:val="28"/>
      <w:sz w:val="32"/>
      <w:szCs w:val="32"/>
    </w:rPr>
  </w:style>
  <w:style w:type="paragraph" w:styleId="57">
    <w:name w:val="List Number 5"/>
    <w:basedOn w:val="1"/>
    <w:qFormat/>
    <w:uiPriority w:val="99"/>
    <w:pPr>
      <w:tabs>
        <w:tab w:val="left" w:pos="2040"/>
      </w:tabs>
      <w:ind w:left="2040" w:leftChars="800" w:hanging="360" w:hangingChars="200"/>
    </w:pPr>
  </w:style>
  <w:style w:type="paragraph" w:styleId="58">
    <w:name w:val="List"/>
    <w:basedOn w:val="31"/>
    <w:qFormat/>
    <w:uiPriority w:val="99"/>
    <w:pPr>
      <w:snapToGrid w:val="0"/>
      <w:spacing w:after="0" w:line="260" w:lineRule="exact"/>
      <w:jc w:val="center"/>
    </w:pPr>
    <w:rPr>
      <w:rFonts w:ascii="宋体" w:hAnsi="宋体"/>
      <w:color w:val="000000"/>
      <w:kern w:val="32"/>
      <w:sz w:val="24"/>
    </w:rPr>
  </w:style>
  <w:style w:type="paragraph" w:styleId="59">
    <w:name w:val="toc 6"/>
    <w:basedOn w:val="1"/>
    <w:next w:val="1"/>
    <w:qFormat/>
    <w:uiPriority w:val="39"/>
    <w:pPr>
      <w:ind w:left="1050"/>
      <w:jc w:val="left"/>
    </w:pPr>
    <w:rPr>
      <w:szCs w:val="21"/>
    </w:rPr>
  </w:style>
  <w:style w:type="paragraph" w:styleId="60">
    <w:name w:val="List 5"/>
    <w:basedOn w:val="1"/>
    <w:qFormat/>
    <w:uiPriority w:val="99"/>
    <w:pPr>
      <w:ind w:left="100" w:leftChars="800" w:hanging="200" w:hangingChars="200"/>
    </w:pPr>
  </w:style>
  <w:style w:type="paragraph" w:styleId="61">
    <w:name w:val="Body Text Indent 3"/>
    <w:basedOn w:val="1"/>
    <w:link w:val="127"/>
    <w:qFormat/>
    <w:uiPriority w:val="0"/>
    <w:pPr>
      <w:ind w:firstLine="585"/>
      <w:jc w:val="left"/>
    </w:pPr>
    <w:rPr>
      <w:b/>
      <w:sz w:val="24"/>
    </w:rPr>
  </w:style>
  <w:style w:type="paragraph" w:styleId="62">
    <w:name w:val="table of figures"/>
    <w:basedOn w:val="1"/>
    <w:next w:val="1"/>
    <w:qFormat/>
    <w:uiPriority w:val="99"/>
    <w:pPr>
      <w:ind w:left="840" w:leftChars="200" w:hanging="420" w:hangingChars="200"/>
    </w:pPr>
  </w:style>
  <w:style w:type="paragraph" w:styleId="63">
    <w:name w:val="toc 2"/>
    <w:basedOn w:val="1"/>
    <w:next w:val="1"/>
    <w:qFormat/>
    <w:uiPriority w:val="39"/>
    <w:pPr>
      <w:ind w:left="210"/>
      <w:jc w:val="left"/>
    </w:pPr>
    <w:rPr>
      <w:smallCaps/>
      <w:sz w:val="20"/>
      <w:szCs w:val="20"/>
    </w:rPr>
  </w:style>
  <w:style w:type="paragraph" w:styleId="64">
    <w:name w:val="toc 9"/>
    <w:basedOn w:val="1"/>
    <w:next w:val="1"/>
    <w:qFormat/>
    <w:uiPriority w:val="39"/>
    <w:pPr>
      <w:ind w:left="1680"/>
      <w:jc w:val="left"/>
    </w:pPr>
    <w:rPr>
      <w:sz w:val="18"/>
      <w:szCs w:val="18"/>
    </w:rPr>
  </w:style>
  <w:style w:type="paragraph" w:styleId="65">
    <w:name w:val="Body Text 2"/>
    <w:basedOn w:val="1"/>
    <w:link w:val="128"/>
    <w:qFormat/>
    <w:uiPriority w:val="99"/>
    <w:rPr>
      <w:rFonts w:ascii="宋体" w:hAnsi="宋体"/>
      <w:sz w:val="24"/>
    </w:rPr>
  </w:style>
  <w:style w:type="paragraph" w:styleId="66">
    <w:name w:val="List 4"/>
    <w:basedOn w:val="1"/>
    <w:qFormat/>
    <w:uiPriority w:val="99"/>
    <w:pPr>
      <w:ind w:left="100" w:leftChars="600" w:hanging="200" w:hangingChars="200"/>
    </w:pPr>
  </w:style>
  <w:style w:type="paragraph" w:styleId="67">
    <w:name w:val="List Continue 2"/>
    <w:basedOn w:val="1"/>
    <w:qFormat/>
    <w:uiPriority w:val="99"/>
    <w:pPr>
      <w:spacing w:after="120"/>
      <w:ind w:left="840" w:leftChars="400"/>
    </w:pPr>
  </w:style>
  <w:style w:type="paragraph" w:styleId="68">
    <w:name w:val="Message Header"/>
    <w:basedOn w:val="1"/>
    <w:link w:val="129"/>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69">
    <w:name w:val="HTML Preformatted"/>
    <w:basedOn w:val="1"/>
    <w:link w:val="13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7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71">
    <w:name w:val="List Continue 3"/>
    <w:basedOn w:val="1"/>
    <w:qFormat/>
    <w:uiPriority w:val="99"/>
    <w:pPr>
      <w:spacing w:after="120"/>
      <w:ind w:left="1260" w:leftChars="600"/>
    </w:pPr>
  </w:style>
  <w:style w:type="paragraph" w:styleId="72">
    <w:name w:val="index 1"/>
    <w:basedOn w:val="1"/>
    <w:next w:val="1"/>
    <w:qFormat/>
    <w:uiPriority w:val="99"/>
    <w:pPr>
      <w:jc w:val="center"/>
    </w:pPr>
    <w:rPr>
      <w:rFonts w:ascii="宋体" w:hAnsi="宋体"/>
      <w:color w:val="000000"/>
      <w:spacing w:val="-24"/>
      <w:szCs w:val="20"/>
    </w:rPr>
  </w:style>
  <w:style w:type="paragraph" w:styleId="73">
    <w:name w:val="Title"/>
    <w:basedOn w:val="1"/>
    <w:link w:val="131"/>
    <w:qFormat/>
    <w:uiPriority w:val="10"/>
    <w:pPr>
      <w:spacing w:before="240" w:after="60"/>
      <w:jc w:val="center"/>
      <w:outlineLvl w:val="0"/>
    </w:pPr>
    <w:rPr>
      <w:rFonts w:ascii="Arial" w:hAnsi="Arial" w:cs="Arial"/>
      <w:b/>
      <w:bCs/>
      <w:sz w:val="32"/>
      <w:szCs w:val="32"/>
    </w:rPr>
  </w:style>
  <w:style w:type="paragraph" w:styleId="74">
    <w:name w:val="annotation subject"/>
    <w:basedOn w:val="26"/>
    <w:next w:val="26"/>
    <w:link w:val="107"/>
    <w:qFormat/>
    <w:uiPriority w:val="99"/>
    <w:rPr>
      <w:rFonts w:ascii="Times New Roman" w:hAnsi="Times New Roman"/>
      <w:b/>
      <w:bCs/>
    </w:rPr>
  </w:style>
  <w:style w:type="paragraph" w:styleId="75">
    <w:name w:val="Body Text First Indent"/>
    <w:basedOn w:val="31"/>
    <w:next w:val="76"/>
    <w:link w:val="109"/>
    <w:qFormat/>
    <w:uiPriority w:val="99"/>
    <w:pPr>
      <w:ind w:firstLine="420" w:firstLineChars="100"/>
    </w:pPr>
  </w:style>
  <w:style w:type="paragraph" w:customStyle="1" w:styleId="76">
    <w:name w:val="正文文字（首行缩进2字）"/>
    <w:basedOn w:val="1"/>
    <w:qFormat/>
    <w:uiPriority w:val="0"/>
    <w:pPr>
      <w:spacing w:line="360" w:lineRule="auto"/>
      <w:ind w:firstLine="200" w:firstLineChars="200"/>
    </w:pPr>
    <w:rPr>
      <w:rFonts w:ascii="Arial" w:hAnsi="Arial"/>
      <w:position w:val="-30"/>
      <w:sz w:val="24"/>
    </w:rPr>
  </w:style>
  <w:style w:type="table" w:styleId="78">
    <w:name w:val="Table Grid"/>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0">
    <w:name w:val="Strong"/>
    <w:qFormat/>
    <w:uiPriority w:val="99"/>
    <w:rPr>
      <w:rFonts w:cs="Times New Roman"/>
      <w:b/>
    </w:rPr>
  </w:style>
  <w:style w:type="character" w:styleId="81">
    <w:name w:val="page number"/>
    <w:basedOn w:val="79"/>
    <w:qFormat/>
    <w:uiPriority w:val="0"/>
    <w:rPr>
      <w:rFonts w:cs="Times New Roman"/>
    </w:rPr>
  </w:style>
  <w:style w:type="character" w:styleId="82">
    <w:name w:val="FollowedHyperlink"/>
    <w:qFormat/>
    <w:uiPriority w:val="99"/>
    <w:rPr>
      <w:rFonts w:cs="Times New Roman"/>
      <w:color w:val="800080"/>
      <w:u w:val="single"/>
    </w:rPr>
  </w:style>
  <w:style w:type="character" w:styleId="83">
    <w:name w:val="Emphasis"/>
    <w:qFormat/>
    <w:uiPriority w:val="99"/>
    <w:rPr>
      <w:rFonts w:cs="Times New Roman"/>
      <w:i/>
    </w:rPr>
  </w:style>
  <w:style w:type="character" w:styleId="84">
    <w:name w:val="line number"/>
    <w:qFormat/>
    <w:uiPriority w:val="99"/>
    <w:rPr>
      <w:rFonts w:cs="Times New Roman"/>
    </w:rPr>
  </w:style>
  <w:style w:type="character" w:styleId="85">
    <w:name w:val="HTML Definition"/>
    <w:qFormat/>
    <w:uiPriority w:val="99"/>
    <w:rPr>
      <w:rFonts w:cs="Times New Roman"/>
      <w:i/>
    </w:rPr>
  </w:style>
  <w:style w:type="character" w:styleId="86">
    <w:name w:val="HTML Typewriter"/>
    <w:qFormat/>
    <w:uiPriority w:val="99"/>
    <w:rPr>
      <w:rFonts w:ascii="Courier New" w:hAnsi="Courier New" w:cs="Times New Roman"/>
      <w:sz w:val="20"/>
    </w:rPr>
  </w:style>
  <w:style w:type="character" w:styleId="87">
    <w:name w:val="HTML Acronym"/>
    <w:qFormat/>
    <w:uiPriority w:val="99"/>
    <w:rPr>
      <w:rFonts w:cs="Times New Roman"/>
    </w:rPr>
  </w:style>
  <w:style w:type="character" w:styleId="88">
    <w:name w:val="HTML Variable"/>
    <w:qFormat/>
    <w:uiPriority w:val="99"/>
    <w:rPr>
      <w:rFonts w:cs="Times New Roman"/>
      <w:i/>
    </w:rPr>
  </w:style>
  <w:style w:type="character" w:styleId="89">
    <w:name w:val="Hyperlink"/>
    <w:qFormat/>
    <w:uiPriority w:val="99"/>
    <w:rPr>
      <w:rFonts w:cs="Times New Roman"/>
      <w:color w:val="0000FF"/>
      <w:u w:val="single"/>
    </w:rPr>
  </w:style>
  <w:style w:type="character" w:styleId="90">
    <w:name w:val="HTML Code"/>
    <w:qFormat/>
    <w:uiPriority w:val="99"/>
    <w:rPr>
      <w:rFonts w:ascii="Courier New" w:hAnsi="Courier New" w:cs="Times New Roman"/>
      <w:sz w:val="20"/>
    </w:rPr>
  </w:style>
  <w:style w:type="character" w:styleId="91">
    <w:name w:val="annotation reference"/>
    <w:basedOn w:val="79"/>
    <w:qFormat/>
    <w:uiPriority w:val="0"/>
    <w:rPr>
      <w:rFonts w:cs="Times New Roman"/>
      <w:sz w:val="21"/>
    </w:rPr>
  </w:style>
  <w:style w:type="character" w:styleId="92">
    <w:name w:val="HTML Cite"/>
    <w:qFormat/>
    <w:uiPriority w:val="99"/>
    <w:rPr>
      <w:rFonts w:cs="Times New Roman"/>
      <w:i/>
    </w:rPr>
  </w:style>
  <w:style w:type="character" w:styleId="93">
    <w:name w:val="HTML Keyboard"/>
    <w:qFormat/>
    <w:uiPriority w:val="99"/>
    <w:rPr>
      <w:rFonts w:ascii="Courier New" w:hAnsi="Courier New" w:cs="Times New Roman"/>
      <w:sz w:val="20"/>
    </w:rPr>
  </w:style>
  <w:style w:type="character" w:styleId="94">
    <w:name w:val="HTML Sample"/>
    <w:qFormat/>
    <w:uiPriority w:val="99"/>
    <w:rPr>
      <w:rFonts w:ascii="Courier New" w:hAnsi="Courier New" w:cs="Times New Roman"/>
    </w:rPr>
  </w:style>
  <w:style w:type="paragraph" w:customStyle="1" w:styleId="95">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6">
    <w:name w:val="标题 1 Char"/>
    <w:link w:val="4"/>
    <w:qFormat/>
    <w:uiPriority w:val="9"/>
    <w:rPr>
      <w:b/>
      <w:bCs/>
      <w:kern w:val="44"/>
      <w:sz w:val="44"/>
      <w:szCs w:val="44"/>
    </w:rPr>
  </w:style>
  <w:style w:type="character" w:customStyle="1" w:styleId="97">
    <w:name w:val="标题 2 Char"/>
    <w:link w:val="5"/>
    <w:qFormat/>
    <w:uiPriority w:val="9"/>
    <w:rPr>
      <w:rFonts w:ascii="Cambria" w:hAnsi="Cambria" w:eastAsia="宋体" w:cs="Times New Roman"/>
      <w:b/>
      <w:bCs/>
      <w:sz w:val="32"/>
      <w:szCs w:val="32"/>
    </w:rPr>
  </w:style>
  <w:style w:type="character" w:customStyle="1" w:styleId="98">
    <w:name w:val="标题 3 Char"/>
    <w:link w:val="6"/>
    <w:qFormat/>
    <w:uiPriority w:val="99"/>
    <w:rPr>
      <w:rFonts w:eastAsia="宋体"/>
      <w:b/>
      <w:kern w:val="2"/>
      <w:sz w:val="32"/>
      <w:lang w:val="en-US" w:eastAsia="zh-CN"/>
    </w:rPr>
  </w:style>
  <w:style w:type="character" w:customStyle="1" w:styleId="99">
    <w:name w:val="标题 4 Char"/>
    <w:link w:val="7"/>
    <w:qFormat/>
    <w:uiPriority w:val="9"/>
    <w:rPr>
      <w:rFonts w:ascii="Cambria" w:hAnsi="Cambria" w:eastAsia="宋体" w:cs="Times New Roman"/>
      <w:b/>
      <w:bCs/>
      <w:sz w:val="28"/>
      <w:szCs w:val="28"/>
    </w:rPr>
  </w:style>
  <w:style w:type="character" w:customStyle="1" w:styleId="100">
    <w:name w:val="正文缩进 Char"/>
    <w:link w:val="9"/>
    <w:qFormat/>
    <w:uiPriority w:val="99"/>
    <w:rPr>
      <w:rFonts w:eastAsia="宋体"/>
      <w:kern w:val="2"/>
      <w:sz w:val="21"/>
      <w:lang w:val="en-US" w:eastAsia="zh-CN"/>
    </w:rPr>
  </w:style>
  <w:style w:type="character" w:customStyle="1" w:styleId="101">
    <w:name w:val="标题 5 Char"/>
    <w:link w:val="8"/>
    <w:qFormat/>
    <w:uiPriority w:val="9"/>
    <w:rPr>
      <w:b/>
      <w:bCs/>
      <w:sz w:val="28"/>
      <w:szCs w:val="28"/>
    </w:rPr>
  </w:style>
  <w:style w:type="character" w:customStyle="1" w:styleId="102">
    <w:name w:val="标题 6 Char"/>
    <w:link w:val="10"/>
    <w:qFormat/>
    <w:uiPriority w:val="9"/>
    <w:rPr>
      <w:rFonts w:ascii="Cambria" w:hAnsi="Cambria" w:eastAsia="宋体" w:cs="Times New Roman"/>
      <w:b/>
      <w:bCs/>
      <w:sz w:val="24"/>
      <w:szCs w:val="24"/>
    </w:rPr>
  </w:style>
  <w:style w:type="character" w:customStyle="1" w:styleId="103">
    <w:name w:val="标题 7 Char"/>
    <w:link w:val="11"/>
    <w:qFormat/>
    <w:uiPriority w:val="9"/>
    <w:rPr>
      <w:b/>
      <w:bCs/>
      <w:sz w:val="24"/>
      <w:szCs w:val="24"/>
    </w:rPr>
  </w:style>
  <w:style w:type="character" w:customStyle="1" w:styleId="104">
    <w:name w:val="标题 8 Char"/>
    <w:link w:val="12"/>
    <w:qFormat/>
    <w:uiPriority w:val="9"/>
    <w:rPr>
      <w:rFonts w:ascii="Cambria" w:hAnsi="Cambria" w:eastAsia="宋体" w:cs="Times New Roman"/>
      <w:sz w:val="24"/>
      <w:szCs w:val="24"/>
    </w:rPr>
  </w:style>
  <w:style w:type="character" w:customStyle="1" w:styleId="105">
    <w:name w:val="标题 9 Char"/>
    <w:link w:val="13"/>
    <w:qFormat/>
    <w:uiPriority w:val="9"/>
    <w:rPr>
      <w:rFonts w:ascii="Cambria" w:hAnsi="Cambria" w:eastAsia="宋体" w:cs="Times New Roman"/>
      <w:szCs w:val="21"/>
    </w:rPr>
  </w:style>
  <w:style w:type="character" w:customStyle="1" w:styleId="106">
    <w:name w:val="批注文字 Char"/>
    <w:link w:val="26"/>
    <w:qFormat/>
    <w:uiPriority w:val="99"/>
    <w:rPr>
      <w:szCs w:val="24"/>
    </w:rPr>
  </w:style>
  <w:style w:type="character" w:customStyle="1" w:styleId="107">
    <w:name w:val="批注主题 Char"/>
    <w:link w:val="74"/>
    <w:qFormat/>
    <w:uiPriority w:val="99"/>
    <w:rPr>
      <w:b/>
      <w:bCs/>
      <w:szCs w:val="24"/>
    </w:rPr>
  </w:style>
  <w:style w:type="character" w:customStyle="1" w:styleId="108">
    <w:name w:val="正文文本 Char"/>
    <w:link w:val="31"/>
    <w:qFormat/>
    <w:uiPriority w:val="99"/>
    <w:rPr>
      <w:rFonts w:eastAsia="宋体"/>
      <w:kern w:val="2"/>
      <w:sz w:val="24"/>
      <w:lang w:val="en-US" w:eastAsia="zh-CN"/>
    </w:rPr>
  </w:style>
  <w:style w:type="character" w:customStyle="1" w:styleId="109">
    <w:name w:val="正文首行缩进 Char"/>
    <w:link w:val="75"/>
    <w:qFormat/>
    <w:uiPriority w:val="99"/>
    <w:rPr>
      <w:rFonts w:eastAsia="宋体"/>
      <w:kern w:val="2"/>
      <w:sz w:val="24"/>
      <w:szCs w:val="24"/>
      <w:lang w:val="en-US" w:eastAsia="zh-CN"/>
    </w:rPr>
  </w:style>
  <w:style w:type="character" w:customStyle="1" w:styleId="110">
    <w:name w:val="注释标题 Char"/>
    <w:link w:val="18"/>
    <w:qFormat/>
    <w:uiPriority w:val="99"/>
    <w:rPr>
      <w:szCs w:val="24"/>
    </w:rPr>
  </w:style>
  <w:style w:type="character" w:customStyle="1" w:styleId="111">
    <w:name w:val="电子邮件签名 Char"/>
    <w:link w:val="20"/>
    <w:qFormat/>
    <w:uiPriority w:val="99"/>
    <w:rPr>
      <w:szCs w:val="24"/>
    </w:rPr>
  </w:style>
  <w:style w:type="character" w:customStyle="1" w:styleId="112">
    <w:name w:val="文档结构图 Char"/>
    <w:link w:val="24"/>
    <w:qFormat/>
    <w:uiPriority w:val="99"/>
    <w:rPr>
      <w:sz w:val="0"/>
      <w:szCs w:val="0"/>
    </w:rPr>
  </w:style>
  <w:style w:type="character" w:customStyle="1" w:styleId="113">
    <w:name w:val="称呼 Char"/>
    <w:link w:val="27"/>
    <w:qFormat/>
    <w:uiPriority w:val="99"/>
    <w:rPr>
      <w:szCs w:val="24"/>
    </w:rPr>
  </w:style>
  <w:style w:type="character" w:customStyle="1" w:styleId="114">
    <w:name w:val="正文文本 3 Char"/>
    <w:link w:val="28"/>
    <w:qFormat/>
    <w:uiPriority w:val="99"/>
    <w:rPr>
      <w:sz w:val="16"/>
      <w:szCs w:val="16"/>
    </w:rPr>
  </w:style>
  <w:style w:type="character" w:customStyle="1" w:styleId="115">
    <w:name w:val="结束语 Char"/>
    <w:link w:val="29"/>
    <w:qFormat/>
    <w:uiPriority w:val="99"/>
    <w:rPr>
      <w:szCs w:val="24"/>
    </w:rPr>
  </w:style>
  <w:style w:type="character" w:customStyle="1" w:styleId="116">
    <w:name w:val="正文文本缩进 Char"/>
    <w:link w:val="3"/>
    <w:qFormat/>
    <w:uiPriority w:val="99"/>
    <w:rPr>
      <w:rFonts w:eastAsia="宋体"/>
      <w:kern w:val="2"/>
      <w:sz w:val="24"/>
      <w:lang w:val="en-US" w:eastAsia="zh-CN"/>
    </w:rPr>
  </w:style>
  <w:style w:type="character" w:customStyle="1" w:styleId="117">
    <w:name w:val="HTML 地址 Char"/>
    <w:link w:val="37"/>
    <w:qFormat/>
    <w:uiPriority w:val="99"/>
    <w:rPr>
      <w:i/>
      <w:iCs/>
      <w:szCs w:val="24"/>
    </w:rPr>
  </w:style>
  <w:style w:type="character" w:customStyle="1" w:styleId="118">
    <w:name w:val="纯文本 Char1"/>
    <w:link w:val="40"/>
    <w:qFormat/>
    <w:uiPriority w:val="0"/>
    <w:rPr>
      <w:rFonts w:ascii="宋体" w:hAnsi="Courier New" w:eastAsia="宋体"/>
      <w:kern w:val="2"/>
      <w:sz w:val="21"/>
      <w:lang w:val="en-US" w:eastAsia="zh-CN"/>
    </w:rPr>
  </w:style>
  <w:style w:type="character" w:customStyle="1" w:styleId="119">
    <w:name w:val="日期 Char"/>
    <w:link w:val="44"/>
    <w:qFormat/>
    <w:uiPriority w:val="99"/>
    <w:rPr>
      <w:szCs w:val="24"/>
    </w:rPr>
  </w:style>
  <w:style w:type="character" w:customStyle="1" w:styleId="120">
    <w:name w:val="正文文本缩进 2 Char"/>
    <w:link w:val="45"/>
    <w:qFormat/>
    <w:uiPriority w:val="99"/>
    <w:rPr>
      <w:szCs w:val="24"/>
    </w:rPr>
  </w:style>
  <w:style w:type="character" w:customStyle="1" w:styleId="121">
    <w:name w:val="批注框文本 Char"/>
    <w:link w:val="48"/>
    <w:qFormat/>
    <w:uiPriority w:val="0"/>
    <w:rPr>
      <w:sz w:val="0"/>
      <w:szCs w:val="0"/>
    </w:rPr>
  </w:style>
  <w:style w:type="character" w:customStyle="1" w:styleId="122">
    <w:name w:val="页脚 Char"/>
    <w:link w:val="49"/>
    <w:qFormat/>
    <w:uiPriority w:val="99"/>
    <w:rPr>
      <w:rFonts w:eastAsia="宋体"/>
      <w:kern w:val="2"/>
      <w:sz w:val="18"/>
      <w:lang w:val="en-US" w:eastAsia="zh-CN"/>
    </w:rPr>
  </w:style>
  <w:style w:type="character" w:customStyle="1" w:styleId="123">
    <w:name w:val="正文首行缩进 2 Char"/>
    <w:link w:val="2"/>
    <w:qFormat/>
    <w:uiPriority w:val="99"/>
    <w:rPr>
      <w:rFonts w:eastAsia="宋体"/>
      <w:kern w:val="2"/>
      <w:sz w:val="24"/>
      <w:szCs w:val="24"/>
      <w:lang w:val="en-US" w:eastAsia="zh-CN"/>
    </w:rPr>
  </w:style>
  <w:style w:type="character" w:customStyle="1" w:styleId="124">
    <w:name w:val="页眉 Char"/>
    <w:link w:val="51"/>
    <w:qFormat/>
    <w:uiPriority w:val="99"/>
    <w:rPr>
      <w:sz w:val="18"/>
      <w:szCs w:val="18"/>
    </w:rPr>
  </w:style>
  <w:style w:type="character" w:customStyle="1" w:styleId="125">
    <w:name w:val="签名 Char"/>
    <w:link w:val="52"/>
    <w:qFormat/>
    <w:uiPriority w:val="99"/>
    <w:rPr>
      <w:szCs w:val="24"/>
    </w:rPr>
  </w:style>
  <w:style w:type="character" w:customStyle="1" w:styleId="126">
    <w:name w:val="副标题 Char"/>
    <w:link w:val="56"/>
    <w:qFormat/>
    <w:uiPriority w:val="0"/>
    <w:rPr>
      <w:rFonts w:ascii="Cambria" w:hAnsi="Cambria" w:cs="Times New Roman"/>
      <w:b/>
      <w:bCs/>
      <w:kern w:val="28"/>
      <w:sz w:val="32"/>
      <w:szCs w:val="32"/>
    </w:rPr>
  </w:style>
  <w:style w:type="character" w:customStyle="1" w:styleId="127">
    <w:name w:val="正文文本缩进 3 Char"/>
    <w:link w:val="61"/>
    <w:qFormat/>
    <w:uiPriority w:val="99"/>
    <w:rPr>
      <w:b/>
      <w:kern w:val="2"/>
      <w:sz w:val="24"/>
    </w:rPr>
  </w:style>
  <w:style w:type="character" w:customStyle="1" w:styleId="128">
    <w:name w:val="正文文本 2 Char"/>
    <w:link w:val="65"/>
    <w:qFormat/>
    <w:uiPriority w:val="99"/>
    <w:rPr>
      <w:szCs w:val="24"/>
    </w:rPr>
  </w:style>
  <w:style w:type="character" w:customStyle="1" w:styleId="129">
    <w:name w:val="信息标题 Char"/>
    <w:link w:val="68"/>
    <w:qFormat/>
    <w:uiPriority w:val="99"/>
    <w:rPr>
      <w:rFonts w:ascii="Cambria" w:hAnsi="Cambria" w:eastAsia="宋体" w:cs="Times New Roman"/>
      <w:sz w:val="24"/>
      <w:szCs w:val="24"/>
      <w:shd w:val="pct20" w:color="auto" w:fill="auto"/>
    </w:rPr>
  </w:style>
  <w:style w:type="character" w:customStyle="1" w:styleId="130">
    <w:name w:val="HTML 预设格式 Char"/>
    <w:link w:val="69"/>
    <w:qFormat/>
    <w:uiPriority w:val="99"/>
    <w:rPr>
      <w:rFonts w:ascii="Courier New" w:hAnsi="Courier New" w:cs="Courier New"/>
      <w:sz w:val="20"/>
      <w:szCs w:val="20"/>
    </w:rPr>
  </w:style>
  <w:style w:type="character" w:customStyle="1" w:styleId="131">
    <w:name w:val="标题 Char"/>
    <w:link w:val="73"/>
    <w:qFormat/>
    <w:uiPriority w:val="10"/>
    <w:rPr>
      <w:rFonts w:ascii="Cambria" w:hAnsi="Cambria" w:cs="Times New Roman"/>
      <w:b/>
      <w:bCs/>
      <w:sz w:val="32"/>
      <w:szCs w:val="32"/>
    </w:rPr>
  </w:style>
  <w:style w:type="character" w:customStyle="1" w:styleId="132">
    <w:name w:val="标题3 Char Char Char Char Char"/>
    <w:link w:val="133"/>
    <w:qFormat/>
    <w:uiPriority w:val="99"/>
    <w:rPr>
      <w:rFonts w:ascii="宋体" w:hAnsi="Courier New" w:eastAsia="宋体"/>
      <w:kern w:val="2"/>
      <w:sz w:val="24"/>
      <w:lang w:val="en-US" w:eastAsia="zh-CN"/>
    </w:rPr>
  </w:style>
  <w:style w:type="paragraph" w:customStyle="1" w:styleId="133">
    <w:name w:val="标题3 Char Char Char Char"/>
    <w:basedOn w:val="1"/>
    <w:link w:val="132"/>
    <w:qFormat/>
    <w:uiPriority w:val="99"/>
    <w:pPr>
      <w:widowControl/>
      <w:adjustRightInd w:val="0"/>
      <w:spacing w:line="360" w:lineRule="auto"/>
      <w:textAlignment w:val="baseline"/>
    </w:pPr>
    <w:rPr>
      <w:rFonts w:ascii="宋体" w:hAnsi="Courier New" w:cs="Courier New"/>
      <w:sz w:val="24"/>
    </w:rPr>
  </w:style>
  <w:style w:type="character" w:customStyle="1" w:styleId="134">
    <w:name w:val="正文1 Char"/>
    <w:link w:val="135"/>
    <w:qFormat/>
    <w:uiPriority w:val="99"/>
    <w:rPr>
      <w:rFonts w:ascii="宋体" w:hAnsi="宋体" w:eastAsia="宋体"/>
      <w:kern w:val="2"/>
      <w:sz w:val="28"/>
      <w:lang w:val="en-US" w:eastAsia="zh-CN"/>
    </w:rPr>
  </w:style>
  <w:style w:type="paragraph" w:customStyle="1" w:styleId="135">
    <w:name w:val="正文1"/>
    <w:basedOn w:val="1"/>
    <w:link w:val="134"/>
    <w:qFormat/>
    <w:uiPriority w:val="99"/>
    <w:pPr>
      <w:spacing w:line="560" w:lineRule="exact"/>
      <w:ind w:firstLine="200" w:firstLineChars="200"/>
    </w:pPr>
    <w:rPr>
      <w:rFonts w:ascii="宋体" w:hAnsi="宋体" w:cs="宋体"/>
      <w:sz w:val="28"/>
      <w:szCs w:val="28"/>
    </w:rPr>
  </w:style>
  <w:style w:type="character" w:customStyle="1" w:styleId="136">
    <w:name w:val="bodytextnarrow1"/>
    <w:qFormat/>
    <w:uiPriority w:val="99"/>
    <w:rPr>
      <w:rFonts w:ascii="Arial" w:hAnsi="Arial"/>
      <w:color w:val="606060"/>
      <w:sz w:val="20"/>
    </w:rPr>
  </w:style>
  <w:style w:type="character" w:customStyle="1" w:styleId="137">
    <w:name w:val="表名，13黑 Char"/>
    <w:link w:val="138"/>
    <w:qFormat/>
    <w:uiPriority w:val="99"/>
    <w:rPr>
      <w:rFonts w:ascii="Arial" w:hAnsi="Arial" w:eastAsia="黑体"/>
      <w:kern w:val="2"/>
      <w:sz w:val="26"/>
      <w:lang w:val="en-US" w:eastAsia="zh-CN"/>
    </w:rPr>
  </w:style>
  <w:style w:type="paragraph" w:customStyle="1" w:styleId="138">
    <w:name w:val="表名，13黑"/>
    <w:link w:val="137"/>
    <w:qFormat/>
    <w:uiPriority w:val="99"/>
    <w:pPr>
      <w:keepNext/>
      <w:widowControl w:val="0"/>
      <w:jc w:val="center"/>
    </w:pPr>
    <w:rPr>
      <w:rFonts w:ascii="Arial" w:hAnsi="Arial" w:eastAsia="黑体" w:cs="Times New Roman"/>
      <w:kern w:val="2"/>
      <w:sz w:val="26"/>
      <w:lang w:val="en-US" w:eastAsia="zh-CN" w:bidi="ar-SA"/>
    </w:rPr>
  </w:style>
  <w:style w:type="character" w:customStyle="1" w:styleId="139">
    <w:name w:val="di1"/>
    <w:qFormat/>
    <w:uiPriority w:val="99"/>
    <w:rPr>
      <w:sz w:val="18"/>
    </w:rPr>
  </w:style>
  <w:style w:type="character" w:customStyle="1" w:styleId="140">
    <w:name w:val="正文1 Char Char Char Char"/>
    <w:link w:val="141"/>
    <w:qFormat/>
    <w:uiPriority w:val="99"/>
    <w:rPr>
      <w:rFonts w:eastAsia="宋体"/>
      <w:b/>
      <w:kern w:val="2"/>
      <w:sz w:val="24"/>
      <w:lang w:val="en-US" w:eastAsia="zh-CN"/>
    </w:rPr>
  </w:style>
  <w:style w:type="paragraph" w:customStyle="1" w:styleId="141">
    <w:name w:val="正文1 Char Char Char"/>
    <w:basedOn w:val="1"/>
    <w:link w:val="140"/>
    <w:qFormat/>
    <w:uiPriority w:val="99"/>
    <w:pPr>
      <w:widowControl/>
      <w:tabs>
        <w:tab w:val="left" w:pos="4660"/>
      </w:tabs>
      <w:spacing w:line="440" w:lineRule="exact"/>
      <w:ind w:firstLine="482" w:firstLineChars="200"/>
    </w:pPr>
    <w:rPr>
      <w:b/>
      <w:sz w:val="24"/>
    </w:rPr>
  </w:style>
  <w:style w:type="character" w:customStyle="1" w:styleId="142">
    <w:name w:val="正文 Char Char Char Char Char Char"/>
    <w:link w:val="143"/>
    <w:qFormat/>
    <w:uiPriority w:val="99"/>
    <w:rPr>
      <w:rFonts w:ascii="Arial Narrow" w:hAnsi="Arial Narrow" w:eastAsia="宋体"/>
      <w:kern w:val="2"/>
      <w:sz w:val="24"/>
      <w:lang w:val="en-US" w:eastAsia="zh-CN"/>
    </w:rPr>
  </w:style>
  <w:style w:type="paragraph" w:customStyle="1" w:styleId="143">
    <w:name w:val="正文 Char Char Char Char Char"/>
    <w:basedOn w:val="1"/>
    <w:link w:val="142"/>
    <w:qFormat/>
    <w:uiPriority w:val="99"/>
    <w:pPr>
      <w:widowControl/>
      <w:tabs>
        <w:tab w:val="left" w:pos="4660"/>
      </w:tabs>
      <w:ind w:firstLine="480" w:firstLineChars="200"/>
    </w:pPr>
    <w:rPr>
      <w:rFonts w:ascii="Arial Narrow" w:hAnsi="Arial Narrow" w:cs="宋体"/>
      <w:sz w:val="24"/>
    </w:rPr>
  </w:style>
  <w:style w:type="character" w:customStyle="1" w:styleId="144">
    <w:name w:val="Char Char3"/>
    <w:qFormat/>
    <w:uiPriority w:val="99"/>
    <w:rPr>
      <w:rFonts w:eastAsia="宋体"/>
      <w:color w:val="000000"/>
      <w:sz w:val="18"/>
      <w:u w:color="000000"/>
      <w:lang w:val="en-US" w:eastAsia="zh-CN"/>
    </w:rPr>
  </w:style>
  <w:style w:type="character" w:customStyle="1" w:styleId="145">
    <w:name w:val="表1.1-1 Char Char Char Char Char Char"/>
    <w:link w:val="146"/>
    <w:qFormat/>
    <w:uiPriority w:val="99"/>
    <w:rPr>
      <w:rFonts w:eastAsia="宋体"/>
      <w:b/>
      <w:kern w:val="2"/>
      <w:sz w:val="21"/>
      <w:lang w:val="en-US" w:eastAsia="zh-CN"/>
    </w:rPr>
  </w:style>
  <w:style w:type="paragraph" w:customStyle="1" w:styleId="146">
    <w:name w:val="表1.1-1 Char Char Char Char Char"/>
    <w:basedOn w:val="141"/>
    <w:link w:val="145"/>
    <w:qFormat/>
    <w:uiPriority w:val="99"/>
    <w:pPr>
      <w:adjustRightInd w:val="0"/>
      <w:snapToGrid w:val="0"/>
      <w:spacing w:line="240" w:lineRule="auto"/>
      <w:ind w:firstLine="0" w:firstLineChars="0"/>
    </w:pPr>
    <w:rPr>
      <w:bCs/>
      <w:sz w:val="21"/>
      <w:szCs w:val="21"/>
    </w:rPr>
  </w:style>
  <w:style w:type="character" w:customStyle="1" w:styleId="147">
    <w:name w:val="纯文本 Char"/>
    <w:link w:val="148"/>
    <w:qFormat/>
    <w:uiPriority w:val="0"/>
    <w:rPr>
      <w:rFonts w:ascii="宋体" w:hAnsi="Courier New" w:eastAsia="宋体"/>
      <w:kern w:val="2"/>
      <w:sz w:val="21"/>
      <w:lang w:val="en-US" w:eastAsia="zh-CN"/>
    </w:rPr>
  </w:style>
  <w:style w:type="paragraph" w:customStyle="1" w:styleId="148">
    <w:name w:val="纯文本1"/>
    <w:basedOn w:val="1"/>
    <w:link w:val="147"/>
    <w:qFormat/>
    <w:uiPriority w:val="0"/>
    <w:rPr>
      <w:rFonts w:ascii="宋体" w:hAnsi="Courier New"/>
      <w:szCs w:val="20"/>
    </w:rPr>
  </w:style>
  <w:style w:type="character" w:customStyle="1" w:styleId="149">
    <w:name w:val="表头 Char Char Char Char1"/>
    <w:qFormat/>
    <w:uiPriority w:val="99"/>
    <w:rPr>
      <w:rFonts w:ascii="Arial Narrow" w:hAnsi="Arial Narrow" w:eastAsia="宋体"/>
      <w:b/>
      <w:kern w:val="2"/>
      <w:sz w:val="24"/>
      <w:lang w:val="en-US" w:eastAsia="zh-CN"/>
    </w:rPr>
  </w:style>
  <w:style w:type="character" w:customStyle="1" w:styleId="150">
    <w:name w:val="标题1"/>
    <w:qFormat/>
    <w:uiPriority w:val="99"/>
    <w:rPr>
      <w:rFonts w:cs="Times New Roman"/>
    </w:rPr>
  </w:style>
  <w:style w:type="character" w:customStyle="1" w:styleId="151">
    <w:name w:val="9black1"/>
    <w:qFormat/>
    <w:uiPriority w:val="99"/>
    <w:rPr>
      <w:color w:val="000000"/>
      <w:sz w:val="18"/>
      <w:u w:val="none"/>
    </w:rPr>
  </w:style>
  <w:style w:type="character" w:customStyle="1" w:styleId="152">
    <w:name w:val="li 2 Char"/>
    <w:link w:val="153"/>
    <w:qFormat/>
    <w:uiPriority w:val="99"/>
    <w:rPr>
      <w:rFonts w:eastAsia="黑体"/>
      <w:b/>
      <w:kern w:val="44"/>
      <w:sz w:val="30"/>
      <w:lang w:val="en-US" w:eastAsia="zh-CN"/>
    </w:rPr>
  </w:style>
  <w:style w:type="paragraph" w:customStyle="1" w:styleId="153">
    <w:name w:val="li 2"/>
    <w:basedOn w:val="4"/>
    <w:next w:val="4"/>
    <w:link w:val="152"/>
    <w:qFormat/>
    <w:uiPriority w:val="99"/>
    <w:pPr>
      <w:spacing w:before="60" w:after="60" w:line="240" w:lineRule="auto"/>
      <w:outlineLvl w:val="1"/>
    </w:pPr>
    <w:rPr>
      <w:rFonts w:eastAsia="黑体"/>
      <w:sz w:val="30"/>
      <w:szCs w:val="30"/>
    </w:rPr>
  </w:style>
  <w:style w:type="character" w:customStyle="1" w:styleId="154">
    <w:name w:val="表内容 Char Char Char Char Char"/>
    <w:link w:val="155"/>
    <w:qFormat/>
    <w:uiPriority w:val="99"/>
    <w:rPr>
      <w:rFonts w:ascii="Arial Narrow" w:hAnsi="Arial Narrow" w:eastAsia="宋体"/>
      <w:kern w:val="2"/>
      <w:sz w:val="21"/>
      <w:lang w:val="en-US" w:eastAsia="zh-CN"/>
    </w:rPr>
  </w:style>
  <w:style w:type="paragraph" w:customStyle="1" w:styleId="155">
    <w:name w:val="表内容 Char Char Char Char"/>
    <w:basedOn w:val="156"/>
    <w:link w:val="154"/>
    <w:qFormat/>
    <w:uiPriority w:val="99"/>
    <w:pPr>
      <w:tabs>
        <w:tab w:val="left" w:pos="4660"/>
      </w:tabs>
      <w:adjustRightInd w:val="0"/>
      <w:snapToGrid w:val="0"/>
      <w:spacing w:line="240" w:lineRule="atLeast"/>
      <w:ind w:firstLine="0" w:firstLineChars="0"/>
      <w:jc w:val="center"/>
    </w:pPr>
    <w:rPr>
      <w:sz w:val="21"/>
      <w:szCs w:val="21"/>
    </w:rPr>
  </w:style>
  <w:style w:type="paragraph" w:customStyle="1" w:styleId="156">
    <w:name w:val="正文 Char Char"/>
    <w:basedOn w:val="1"/>
    <w:qFormat/>
    <w:uiPriority w:val="99"/>
    <w:pPr>
      <w:widowControl/>
      <w:tabs>
        <w:tab w:val="left" w:pos="4660"/>
      </w:tabs>
      <w:ind w:firstLine="480" w:firstLineChars="200"/>
    </w:pPr>
    <w:rPr>
      <w:rFonts w:ascii="Arial Narrow" w:hAnsi="Arial Narrow" w:cs="宋体"/>
      <w:sz w:val="24"/>
    </w:rPr>
  </w:style>
  <w:style w:type="character" w:customStyle="1" w:styleId="157">
    <w:name w:val="font21"/>
    <w:qFormat/>
    <w:uiPriority w:val="0"/>
    <w:rPr>
      <w:color w:val="000000"/>
      <w:sz w:val="21"/>
      <w:u w:val="none"/>
    </w:rPr>
  </w:style>
  <w:style w:type="character" w:customStyle="1" w:styleId="158">
    <w:name w:val="表头 Char Char Char1"/>
    <w:qFormat/>
    <w:uiPriority w:val="99"/>
    <w:rPr>
      <w:rFonts w:ascii="Arial Narrow" w:hAnsi="Arial Narrow" w:eastAsia="宋体"/>
      <w:b/>
      <w:kern w:val="2"/>
      <w:sz w:val="24"/>
      <w:lang w:val="en-US" w:eastAsia="zh-CN"/>
    </w:rPr>
  </w:style>
  <w:style w:type="character" w:customStyle="1" w:styleId="159">
    <w:name w:val="表头 Char Char Char Char"/>
    <w:link w:val="160"/>
    <w:qFormat/>
    <w:uiPriority w:val="99"/>
    <w:rPr>
      <w:rFonts w:ascii="Arial Narrow" w:hAnsi="Arial Narrow" w:eastAsia="宋体"/>
      <w:b/>
      <w:kern w:val="2"/>
      <w:sz w:val="24"/>
      <w:lang w:val="en-US" w:eastAsia="zh-CN"/>
    </w:rPr>
  </w:style>
  <w:style w:type="paragraph" w:customStyle="1" w:styleId="160">
    <w:name w:val="表头 Char Char Char"/>
    <w:basedOn w:val="141"/>
    <w:link w:val="159"/>
    <w:qFormat/>
    <w:uiPriority w:val="99"/>
    <w:pPr>
      <w:tabs>
        <w:tab w:val="left" w:pos="435"/>
        <w:tab w:val="clear" w:pos="4660"/>
      </w:tabs>
      <w:adjustRightInd w:val="0"/>
      <w:snapToGrid w:val="0"/>
      <w:spacing w:beforeLines="50" w:line="240" w:lineRule="auto"/>
      <w:ind w:firstLine="0" w:firstLineChars="0"/>
      <w:jc w:val="center"/>
    </w:pPr>
    <w:rPr>
      <w:rFonts w:ascii="Arial Narrow" w:hAnsi="Arial Narrow" w:cs="宋体"/>
    </w:rPr>
  </w:style>
  <w:style w:type="character" w:customStyle="1" w:styleId="161">
    <w:name w:val="样式 标题 1 + Arial Narrow Char Char Char"/>
    <w:link w:val="162"/>
    <w:qFormat/>
    <w:uiPriority w:val="99"/>
    <w:rPr>
      <w:rFonts w:ascii="宋体" w:hAnsi="宋体" w:eastAsia="宋体"/>
      <w:b/>
      <w:caps/>
      <w:kern w:val="2"/>
      <w:sz w:val="24"/>
      <w:lang w:val="en-US" w:eastAsia="zh-CN"/>
    </w:rPr>
  </w:style>
  <w:style w:type="paragraph" w:customStyle="1" w:styleId="162">
    <w:name w:val="样式 标题 1 + Arial Narrow Char Char"/>
    <w:basedOn w:val="4"/>
    <w:link w:val="161"/>
    <w:qFormat/>
    <w:uiPriority w:val="99"/>
    <w:pPr>
      <w:widowControl/>
      <w:spacing w:line="360" w:lineRule="auto"/>
    </w:pPr>
    <w:rPr>
      <w:rFonts w:ascii="宋体" w:hAnsi="宋体"/>
      <w:bCs w:val="0"/>
      <w:caps/>
      <w:kern w:val="2"/>
      <w:szCs w:val="24"/>
    </w:rPr>
  </w:style>
  <w:style w:type="character" w:customStyle="1" w:styleId="163">
    <w:name w:val="正文1 Char1 Char Char"/>
    <w:link w:val="164"/>
    <w:qFormat/>
    <w:uiPriority w:val="99"/>
    <w:rPr>
      <w:rFonts w:ascii="Arial Narrow" w:hAnsi="Arial Narrow" w:eastAsia="宋体"/>
      <w:kern w:val="2"/>
      <w:sz w:val="24"/>
      <w:lang w:val="en-US" w:eastAsia="zh-CN"/>
    </w:rPr>
  </w:style>
  <w:style w:type="paragraph" w:customStyle="1" w:styleId="164">
    <w:name w:val="正文1 Char1 Char"/>
    <w:basedOn w:val="1"/>
    <w:link w:val="163"/>
    <w:qFormat/>
    <w:uiPriority w:val="99"/>
    <w:pPr>
      <w:widowControl/>
      <w:tabs>
        <w:tab w:val="left" w:pos="4660"/>
      </w:tabs>
      <w:ind w:firstLine="480" w:firstLineChars="200"/>
      <w:jc w:val="left"/>
    </w:pPr>
    <w:rPr>
      <w:rFonts w:ascii="Arial Narrow" w:hAnsi="Arial Narrow" w:cs="宋体"/>
      <w:sz w:val="24"/>
    </w:rPr>
  </w:style>
  <w:style w:type="character" w:customStyle="1" w:styleId="165">
    <w:name w:val="li 表头文字 Char"/>
    <w:link w:val="166"/>
    <w:qFormat/>
    <w:uiPriority w:val="99"/>
    <w:rPr>
      <w:b/>
      <w:spacing w:val="4"/>
      <w:kern w:val="2"/>
      <w:sz w:val="21"/>
      <w:lang w:val="en-US" w:eastAsia="zh-CN"/>
    </w:rPr>
  </w:style>
  <w:style w:type="paragraph" w:customStyle="1" w:styleId="166">
    <w:name w:val="li 表头文字"/>
    <w:link w:val="165"/>
    <w:qFormat/>
    <w:uiPriority w:val="99"/>
    <w:pPr>
      <w:spacing w:line="460" w:lineRule="exact"/>
      <w:jc w:val="center"/>
    </w:pPr>
    <w:rPr>
      <w:rFonts w:ascii="Times New Roman" w:hAnsi="Times New Roman" w:eastAsia="宋体" w:cs="Times New Roman"/>
      <w:b/>
      <w:spacing w:val="4"/>
      <w:kern w:val="2"/>
      <w:sz w:val="21"/>
      <w:szCs w:val="21"/>
      <w:lang w:val="en-US" w:eastAsia="zh-CN" w:bidi="ar-SA"/>
    </w:rPr>
  </w:style>
  <w:style w:type="character" w:customStyle="1" w:styleId="167">
    <w:name w:val="3 Char Char"/>
    <w:qFormat/>
    <w:uiPriority w:val="99"/>
    <w:rPr>
      <w:rFonts w:ascii="宋体" w:hAnsi="宋体" w:eastAsia="宋体"/>
      <w:color w:val="0000FF"/>
      <w:sz w:val="28"/>
      <w:lang w:val="en-US" w:eastAsia="zh-CN"/>
    </w:rPr>
  </w:style>
  <w:style w:type="paragraph" w:customStyle="1" w:styleId="168">
    <w:name w:val="xl38"/>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169">
    <w:name w:val="流程图3"/>
    <w:basedOn w:val="1"/>
    <w:qFormat/>
    <w:uiPriority w:val="99"/>
    <w:pPr>
      <w:autoSpaceDE w:val="0"/>
      <w:autoSpaceDN w:val="0"/>
      <w:adjustRightInd w:val="0"/>
      <w:spacing w:line="280" w:lineRule="exact"/>
    </w:pPr>
    <w:rPr>
      <w:b/>
      <w:color w:val="000000"/>
      <w:szCs w:val="20"/>
    </w:rPr>
  </w:style>
  <w:style w:type="paragraph" w:customStyle="1" w:styleId="170">
    <w:name w:val="应填表格"/>
    <w:basedOn w:val="1"/>
    <w:qFormat/>
    <w:uiPriority w:val="99"/>
    <w:pPr>
      <w:adjustRightInd w:val="0"/>
      <w:spacing w:before="40" w:after="40"/>
      <w:jc w:val="left"/>
      <w:textAlignment w:val="baseline"/>
    </w:pPr>
    <w:rPr>
      <w:kern w:val="0"/>
      <w:sz w:val="24"/>
      <w:szCs w:val="20"/>
    </w:rPr>
  </w:style>
  <w:style w:type="paragraph" w:customStyle="1" w:styleId="171">
    <w:name w:val="xl4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4"/>
    </w:rPr>
  </w:style>
  <w:style w:type="paragraph" w:customStyle="1" w:styleId="172">
    <w:name w:val="表内容1"/>
    <w:basedOn w:val="141"/>
    <w:qFormat/>
    <w:uiPriority w:val="99"/>
    <w:pPr>
      <w:adjustRightInd w:val="0"/>
      <w:snapToGrid w:val="0"/>
      <w:spacing w:line="240" w:lineRule="auto"/>
      <w:ind w:firstLine="0"/>
      <w:jc w:val="center"/>
    </w:pPr>
    <w:rPr>
      <w:b w:val="0"/>
      <w:sz w:val="21"/>
      <w:szCs w:val="21"/>
      <w:u w:val="single"/>
    </w:rPr>
  </w:style>
  <w:style w:type="paragraph" w:customStyle="1" w:styleId="173">
    <w:name w:val="xl41"/>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174">
    <w:name w:val="xl5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75">
    <w:name w:val="表头文字"/>
    <w:qFormat/>
    <w:uiPriority w:val="99"/>
    <w:pPr>
      <w:spacing w:line="460" w:lineRule="exact"/>
      <w:jc w:val="center"/>
    </w:pPr>
    <w:rPr>
      <w:rFonts w:ascii="Times New Roman" w:hAnsi="Times New Roman" w:eastAsia="宋体" w:cs="Times New Roman"/>
      <w:b/>
      <w:kern w:val="2"/>
      <w:sz w:val="24"/>
      <w:szCs w:val="24"/>
      <w:lang w:val="en-US" w:eastAsia="zh-CN" w:bidi="ar-SA"/>
    </w:rPr>
  </w:style>
  <w:style w:type="paragraph" w:customStyle="1" w:styleId="176">
    <w:name w:val="Char Char Char Char Char Char Char Char Char Char"/>
    <w:basedOn w:val="1"/>
    <w:qFormat/>
    <w:uiPriority w:val="99"/>
    <w:pPr>
      <w:snapToGrid w:val="0"/>
      <w:spacing w:line="360" w:lineRule="auto"/>
      <w:ind w:firstLine="529" w:firstLineChars="200"/>
    </w:pPr>
    <w:rPr>
      <w:rFonts w:ascii="宋体" w:hAnsi="宋体"/>
      <w:b/>
    </w:rPr>
  </w:style>
  <w:style w:type="paragraph" w:customStyle="1" w:styleId="177">
    <w:name w:val="表格文字小"/>
    <w:basedOn w:val="1"/>
    <w:qFormat/>
    <w:uiPriority w:val="99"/>
    <w:pPr>
      <w:spacing w:line="400" w:lineRule="exact"/>
      <w:jc w:val="center"/>
    </w:pPr>
    <w:rPr>
      <w:szCs w:val="20"/>
    </w:rPr>
  </w:style>
  <w:style w:type="paragraph" w:customStyle="1" w:styleId="178">
    <w:name w:val="font12"/>
    <w:basedOn w:val="1"/>
    <w:qFormat/>
    <w:uiPriority w:val="99"/>
    <w:pPr>
      <w:widowControl/>
      <w:spacing w:before="100" w:beforeAutospacing="1" w:after="100" w:afterAutospacing="1"/>
      <w:jc w:val="left"/>
    </w:pPr>
    <w:rPr>
      <w:rFonts w:ascii="宋体" w:hAnsi="宋体" w:cs="宋体"/>
      <w:color w:val="008000"/>
      <w:kern w:val="0"/>
      <w:sz w:val="18"/>
      <w:szCs w:val="18"/>
    </w:rPr>
  </w:style>
  <w:style w:type="paragraph" w:customStyle="1" w:styleId="179">
    <w:name w:val="表内容"/>
    <w:basedOn w:val="141"/>
    <w:link w:val="180"/>
    <w:qFormat/>
    <w:uiPriority w:val="99"/>
    <w:pPr>
      <w:adjustRightInd w:val="0"/>
      <w:snapToGrid w:val="0"/>
      <w:spacing w:line="240" w:lineRule="atLeast"/>
      <w:ind w:left="-105" w:leftChars="-56" w:right="-107" w:rightChars="-51" w:hanging="13" w:hangingChars="6"/>
      <w:jc w:val="center"/>
    </w:pPr>
    <w:rPr>
      <w:bCs/>
      <w:kern w:val="0"/>
      <w:sz w:val="21"/>
      <w:szCs w:val="21"/>
    </w:rPr>
  </w:style>
  <w:style w:type="character" w:customStyle="1" w:styleId="180">
    <w:name w:val="表内容 Char"/>
    <w:basedOn w:val="79"/>
    <w:link w:val="179"/>
    <w:qFormat/>
    <w:uiPriority w:val="99"/>
    <w:rPr>
      <w:b/>
      <w:bCs/>
      <w:sz w:val="21"/>
      <w:szCs w:val="21"/>
    </w:rPr>
  </w:style>
  <w:style w:type="paragraph" w:customStyle="1" w:styleId="181">
    <w:name w:val="目录标题"/>
    <w:basedOn w:val="1"/>
    <w:qFormat/>
    <w:uiPriority w:val="99"/>
    <w:pPr>
      <w:widowControl/>
      <w:jc w:val="center"/>
    </w:pPr>
    <w:rPr>
      <w:rFonts w:ascii="Arial Narrow" w:hAnsi="Arial Narrow"/>
      <w:b/>
      <w:sz w:val="32"/>
      <w:szCs w:val="32"/>
    </w:rPr>
  </w:style>
  <w:style w:type="paragraph" w:customStyle="1" w:styleId="182">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4"/>
    </w:rPr>
  </w:style>
  <w:style w:type="paragraph" w:customStyle="1" w:styleId="183">
    <w:name w:val="样式 五号 加粗 居中 行距: 固定值 18 磅"/>
    <w:basedOn w:val="1"/>
    <w:qFormat/>
    <w:uiPriority w:val="99"/>
    <w:pPr>
      <w:spacing w:line="360" w:lineRule="exact"/>
      <w:jc w:val="center"/>
    </w:pPr>
    <w:rPr>
      <w:rFonts w:ascii="宋体" w:hAnsi="宋体"/>
      <w:b/>
      <w:bCs/>
      <w:szCs w:val="20"/>
    </w:rPr>
  </w:style>
  <w:style w:type="paragraph" w:customStyle="1" w:styleId="184">
    <w:name w:val="2"/>
    <w:basedOn w:val="1"/>
    <w:next w:val="3"/>
    <w:qFormat/>
    <w:uiPriority w:val="99"/>
    <w:pPr>
      <w:spacing w:line="440" w:lineRule="exact"/>
      <w:ind w:firstLine="574"/>
    </w:pPr>
    <w:rPr>
      <w:sz w:val="28"/>
      <w:szCs w:val="20"/>
    </w:rPr>
  </w:style>
  <w:style w:type="paragraph" w:customStyle="1" w:styleId="185">
    <w:name w:val="Char Char Char Char Char Char Char Char Char Char Char Char"/>
    <w:basedOn w:val="1"/>
    <w:qFormat/>
    <w:uiPriority w:val="99"/>
    <w:pPr>
      <w:spacing w:line="560" w:lineRule="exact"/>
      <w:ind w:firstLine="200" w:firstLineChars="200"/>
    </w:pPr>
    <w:rPr>
      <w:rFonts w:ascii="宋体" w:hAnsi="宋体" w:cs="宋体"/>
      <w:sz w:val="28"/>
      <w:szCs w:val="28"/>
    </w:rPr>
  </w:style>
  <w:style w:type="paragraph" w:customStyle="1" w:styleId="186">
    <w:name w:val="2 Char Char Char Char"/>
    <w:basedOn w:val="1"/>
    <w:qFormat/>
    <w:uiPriority w:val="99"/>
    <w:pPr>
      <w:snapToGrid w:val="0"/>
      <w:spacing w:line="360" w:lineRule="auto"/>
      <w:ind w:firstLine="529" w:firstLineChars="200"/>
    </w:pPr>
    <w:rPr>
      <w:rFonts w:ascii="宋体" w:hAnsi="宋体"/>
      <w:b/>
    </w:rPr>
  </w:style>
  <w:style w:type="paragraph" w:customStyle="1" w:styleId="187">
    <w:name w:val="默认段落字体 Para Char"/>
    <w:basedOn w:val="1"/>
    <w:qFormat/>
    <w:uiPriority w:val="0"/>
    <w:pPr>
      <w:spacing w:line="360" w:lineRule="auto"/>
      <w:ind w:firstLine="200" w:firstLineChars="200"/>
    </w:pPr>
    <w:rPr>
      <w:rFonts w:ascii="宋体" w:hAnsi="宋体" w:cs="宋体"/>
      <w:sz w:val="24"/>
    </w:rPr>
  </w:style>
  <w:style w:type="paragraph" w:customStyle="1" w:styleId="188">
    <w:name w:val="列表2"/>
    <w:basedOn w:val="58"/>
    <w:qFormat/>
    <w:uiPriority w:val="99"/>
    <w:pPr>
      <w:adjustRightInd w:val="0"/>
      <w:spacing w:line="320" w:lineRule="exact"/>
    </w:pPr>
    <w:rPr>
      <w:b/>
      <w:kern w:val="2"/>
    </w:rPr>
  </w:style>
  <w:style w:type="paragraph" w:customStyle="1" w:styleId="189">
    <w:name w:val="xl33"/>
    <w:basedOn w:val="1"/>
    <w:qFormat/>
    <w:uiPriority w:val="99"/>
    <w:pPr>
      <w:widowControl/>
      <w:pBdr>
        <w:bottom w:val="single" w:color="auto" w:sz="4" w:space="0"/>
        <w:right w:val="single" w:color="auto" w:sz="4" w:space="0"/>
      </w:pBdr>
      <w:spacing w:before="100" w:beforeAutospacing="1" w:after="100" w:afterAutospacing="1"/>
      <w:jc w:val="center"/>
    </w:pPr>
    <w:rPr>
      <w:rFonts w:ascii="Arial Unicode MS" w:hAnsi="Arial Unicode MS" w:cs="Arial Unicode MS"/>
      <w:b/>
      <w:bCs/>
      <w:color w:val="000000"/>
      <w:kern w:val="0"/>
      <w:szCs w:val="21"/>
    </w:rPr>
  </w:style>
  <w:style w:type="paragraph" w:customStyle="1" w:styleId="190">
    <w:name w:val="Char Char Char Char Char Char Char Char Char Char Char Char Char"/>
    <w:basedOn w:val="1"/>
    <w:qFormat/>
    <w:uiPriority w:val="99"/>
    <w:pPr>
      <w:spacing w:line="560" w:lineRule="exact"/>
      <w:ind w:firstLine="200" w:firstLineChars="200"/>
    </w:pPr>
    <w:rPr>
      <w:rFonts w:ascii="宋体" w:hAnsi="宋体" w:cs="宋体"/>
      <w:sz w:val="28"/>
      <w:szCs w:val="28"/>
    </w:rPr>
  </w:style>
  <w:style w:type="paragraph" w:customStyle="1" w:styleId="191">
    <w:name w:val="xl2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92">
    <w:name w:val="13"/>
    <w:basedOn w:val="193"/>
    <w:qFormat/>
    <w:uiPriority w:val="99"/>
    <w:rPr>
      <w:rFonts w:eastAsia="宋体"/>
      <w:b w:val="0"/>
      <w:sz w:val="21"/>
      <w:szCs w:val="21"/>
    </w:rPr>
  </w:style>
  <w:style w:type="paragraph" w:customStyle="1" w:styleId="193">
    <w:name w:val="li 1"/>
    <w:basedOn w:val="4"/>
    <w:next w:val="4"/>
    <w:qFormat/>
    <w:uiPriority w:val="99"/>
    <w:pPr>
      <w:spacing w:before="240" w:after="120" w:line="240" w:lineRule="auto"/>
      <w:jc w:val="center"/>
    </w:pPr>
    <w:rPr>
      <w:rFonts w:eastAsia="隶书"/>
      <w:bCs w:val="0"/>
      <w:szCs w:val="30"/>
    </w:rPr>
  </w:style>
  <w:style w:type="paragraph" w:customStyle="1" w:styleId="194">
    <w:name w:val="已有表格"/>
    <w:basedOn w:val="1"/>
    <w:qFormat/>
    <w:uiPriority w:val="99"/>
    <w:pPr>
      <w:adjustRightInd w:val="0"/>
      <w:spacing w:before="40" w:after="40"/>
      <w:jc w:val="center"/>
      <w:textAlignment w:val="baseline"/>
    </w:pPr>
    <w:rPr>
      <w:b/>
      <w:kern w:val="0"/>
      <w:sz w:val="24"/>
      <w:szCs w:val="20"/>
    </w:rPr>
  </w:style>
  <w:style w:type="paragraph" w:customStyle="1" w:styleId="195">
    <w:name w:val="表1.1-1 Char"/>
    <w:basedOn w:val="156"/>
    <w:qFormat/>
    <w:uiPriority w:val="99"/>
    <w:pPr>
      <w:adjustRightInd w:val="0"/>
      <w:snapToGrid w:val="0"/>
      <w:ind w:firstLine="0" w:firstLineChars="0"/>
    </w:pPr>
    <w:rPr>
      <w:bCs/>
    </w:rPr>
  </w:style>
  <w:style w:type="paragraph" w:customStyle="1" w:styleId="196">
    <w:name w:val="3级标题"/>
    <w:basedOn w:val="135"/>
    <w:qFormat/>
    <w:uiPriority w:val="99"/>
    <w:pPr>
      <w:spacing w:before="60" w:after="60" w:line="460" w:lineRule="exact"/>
      <w:ind w:firstLine="0" w:firstLineChars="0"/>
      <w:jc w:val="left"/>
      <w:outlineLvl w:val="2"/>
    </w:pPr>
    <w:rPr>
      <w:rFonts w:ascii="Times New Roman" w:hAnsi="Times New Roman" w:cs="Times New Roman"/>
      <w:b/>
      <w:sz w:val="24"/>
      <w:szCs w:val="20"/>
    </w:rPr>
  </w:style>
  <w:style w:type="paragraph" w:customStyle="1" w:styleId="197">
    <w:name w:val="xl27"/>
    <w:basedOn w:val="1"/>
    <w:qFormat/>
    <w:uiPriority w:val="99"/>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98">
    <w:name w:val="表格文字/18"/>
    <w:basedOn w:val="199"/>
    <w:qFormat/>
    <w:uiPriority w:val="99"/>
    <w:pPr>
      <w:spacing w:line="360" w:lineRule="exact"/>
      <w:ind w:left="-103" w:leftChars="-49" w:right="-105" w:rightChars="-50" w:firstLine="1"/>
    </w:pPr>
    <w:rPr>
      <w:color w:val="000000"/>
      <w:kern w:val="32"/>
      <w:sz w:val="24"/>
      <w:szCs w:val="20"/>
    </w:rPr>
  </w:style>
  <w:style w:type="paragraph" w:customStyle="1" w:styleId="199">
    <w:name w:val="表格文字"/>
    <w:basedOn w:val="1"/>
    <w:next w:val="1"/>
    <w:link w:val="200"/>
    <w:qFormat/>
    <w:uiPriority w:val="0"/>
    <w:pPr>
      <w:adjustRightInd w:val="0"/>
      <w:snapToGrid w:val="0"/>
      <w:spacing w:line="500" w:lineRule="exact"/>
      <w:jc w:val="center"/>
    </w:pPr>
    <w:rPr>
      <w:kern w:val="0"/>
      <w:szCs w:val="21"/>
    </w:rPr>
  </w:style>
  <w:style w:type="character" w:customStyle="1" w:styleId="200">
    <w:name w:val="表格文字 Char"/>
    <w:link w:val="199"/>
    <w:qFormat/>
    <w:uiPriority w:val="0"/>
    <w:rPr>
      <w:sz w:val="21"/>
    </w:rPr>
  </w:style>
  <w:style w:type="paragraph" w:customStyle="1" w:styleId="201">
    <w:name w:val="图例"/>
    <w:basedOn w:val="1"/>
    <w:qFormat/>
    <w:uiPriority w:val="99"/>
    <w:pPr>
      <w:ind w:firstLine="1418"/>
    </w:pPr>
    <w:rPr>
      <w:rFonts w:eastAsia="黑体"/>
      <w:sz w:val="24"/>
      <w:szCs w:val="20"/>
    </w:rPr>
  </w:style>
  <w:style w:type="paragraph" w:customStyle="1" w:styleId="202">
    <w:name w:val="xl5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3">
    <w:name w:val="font7"/>
    <w:basedOn w:val="1"/>
    <w:qFormat/>
    <w:uiPriority w:val="99"/>
    <w:pPr>
      <w:widowControl/>
      <w:spacing w:before="100" w:beforeAutospacing="1" w:after="100" w:afterAutospacing="1"/>
      <w:jc w:val="left"/>
    </w:pPr>
    <w:rPr>
      <w:kern w:val="0"/>
      <w:sz w:val="16"/>
      <w:szCs w:val="16"/>
    </w:rPr>
  </w:style>
  <w:style w:type="paragraph" w:customStyle="1" w:styleId="204">
    <w:name w:val="li正文"/>
    <w:basedOn w:val="1"/>
    <w:qFormat/>
    <w:uiPriority w:val="99"/>
    <w:pPr>
      <w:adjustRightInd w:val="0"/>
      <w:snapToGrid w:val="0"/>
      <w:spacing w:line="460" w:lineRule="exact"/>
      <w:ind w:firstLine="200" w:firstLineChars="200"/>
    </w:pPr>
    <w:rPr>
      <w:b/>
      <w:sz w:val="24"/>
      <w:szCs w:val="20"/>
    </w:rPr>
  </w:style>
  <w:style w:type="paragraph" w:customStyle="1" w:styleId="205">
    <w:name w:val="4"/>
    <w:basedOn w:val="1"/>
    <w:next w:val="40"/>
    <w:qFormat/>
    <w:uiPriority w:val="99"/>
    <w:pPr>
      <w:spacing w:line="460" w:lineRule="exact"/>
      <w:ind w:firstLine="200" w:firstLineChars="200"/>
    </w:pPr>
    <w:rPr>
      <w:rFonts w:ascii="宋体" w:hAnsi="Courier New"/>
      <w:b/>
      <w:sz w:val="24"/>
      <w:szCs w:val="20"/>
    </w:rPr>
  </w:style>
  <w:style w:type="paragraph" w:customStyle="1" w:styleId="206">
    <w:name w:val="表格"/>
    <w:basedOn w:val="40"/>
    <w:next w:val="1"/>
    <w:link w:val="207"/>
    <w:qFormat/>
    <w:uiPriority w:val="0"/>
    <w:pPr>
      <w:autoSpaceDE w:val="0"/>
      <w:autoSpaceDN w:val="0"/>
      <w:spacing w:line="320" w:lineRule="exact"/>
    </w:pPr>
    <w:rPr>
      <w:color w:val="000000"/>
      <w:spacing w:val="-20"/>
      <w:kern w:val="0"/>
      <w:sz w:val="24"/>
      <w:szCs w:val="20"/>
    </w:rPr>
  </w:style>
  <w:style w:type="character" w:customStyle="1" w:styleId="207">
    <w:name w:val="表格 Char"/>
    <w:link w:val="206"/>
    <w:qFormat/>
    <w:uiPriority w:val="0"/>
    <w:rPr>
      <w:rFonts w:ascii="宋体"/>
      <w:color w:val="000000"/>
      <w:spacing w:val="-20"/>
      <w:sz w:val="24"/>
    </w:rPr>
  </w:style>
  <w:style w:type="paragraph" w:customStyle="1" w:styleId="208">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209">
    <w:name w:val="font8"/>
    <w:basedOn w:val="1"/>
    <w:qFormat/>
    <w:uiPriority w:val="99"/>
    <w:pPr>
      <w:widowControl/>
      <w:spacing w:before="100" w:beforeAutospacing="1" w:after="100" w:afterAutospacing="1"/>
      <w:jc w:val="left"/>
    </w:pPr>
    <w:rPr>
      <w:rFonts w:ascii="宋体" w:hAnsi="宋体"/>
      <w:kern w:val="0"/>
      <w:sz w:val="16"/>
      <w:szCs w:val="16"/>
    </w:rPr>
  </w:style>
  <w:style w:type="paragraph" w:customStyle="1" w:styleId="210">
    <w:name w:val="样式3"/>
    <w:basedOn w:val="211"/>
    <w:qFormat/>
    <w:uiPriority w:val="99"/>
    <w:pPr>
      <w:pBdr>
        <w:bottom w:val="thinThickSmallGap" w:color="auto" w:sz="24" w:space="1"/>
      </w:pBdr>
    </w:pPr>
  </w:style>
  <w:style w:type="paragraph" w:customStyle="1" w:styleId="211">
    <w:name w:val="样式1"/>
    <w:basedOn w:val="1"/>
    <w:qFormat/>
    <w:uiPriority w:val="99"/>
    <w:pPr>
      <w:pBdr>
        <w:bottom w:val="thickThinSmallGap" w:color="auto" w:sz="24" w:space="1"/>
      </w:pBdr>
    </w:pPr>
  </w:style>
  <w:style w:type="paragraph" w:customStyle="1" w:styleId="212">
    <w:name w:val="xl26"/>
    <w:basedOn w:val="1"/>
    <w:qFormat/>
    <w:uiPriority w:val="99"/>
    <w:pPr>
      <w:widowControl/>
      <w:spacing w:before="100" w:beforeAutospacing="1" w:after="100" w:afterAutospacing="1" w:line="460" w:lineRule="exact"/>
      <w:ind w:firstLine="200" w:firstLineChars="200"/>
      <w:jc w:val="left"/>
    </w:pPr>
    <w:rPr>
      <w:rFonts w:ascii="Arial Unicode MS" w:hAnsi="Arial Unicode MS" w:cs="Arial Unicode MS"/>
      <w:b/>
      <w:color w:val="FF0000"/>
      <w:kern w:val="0"/>
      <w:sz w:val="24"/>
    </w:rPr>
  </w:style>
  <w:style w:type="paragraph" w:customStyle="1" w:styleId="213">
    <w:name w:val="2级标题"/>
    <w:basedOn w:val="135"/>
    <w:qFormat/>
    <w:uiPriority w:val="99"/>
    <w:pPr>
      <w:spacing w:before="120" w:after="120" w:line="240" w:lineRule="auto"/>
      <w:ind w:firstLine="0" w:firstLineChars="0"/>
      <w:jc w:val="left"/>
      <w:outlineLvl w:val="1"/>
    </w:pPr>
    <w:rPr>
      <w:rFonts w:ascii="Times New Roman" w:hAnsi="Times New Roman" w:cs="Times New Roman"/>
      <w:b/>
      <w:szCs w:val="20"/>
    </w:rPr>
  </w:style>
  <w:style w:type="paragraph" w:customStyle="1" w:styleId="214">
    <w:name w:val="font10"/>
    <w:basedOn w:val="1"/>
    <w:qFormat/>
    <w:uiPriority w:val="99"/>
    <w:pPr>
      <w:widowControl/>
      <w:spacing w:before="100" w:beforeAutospacing="1" w:after="100" w:afterAutospacing="1"/>
      <w:jc w:val="left"/>
    </w:pPr>
    <w:rPr>
      <w:color w:val="008000"/>
      <w:kern w:val="0"/>
      <w:sz w:val="20"/>
      <w:szCs w:val="20"/>
    </w:rPr>
  </w:style>
  <w:style w:type="paragraph" w:customStyle="1" w:styleId="215">
    <w:name w:val="WPS Plain"/>
    <w:qFormat/>
    <w:uiPriority w:val="99"/>
    <w:rPr>
      <w:rFonts w:ascii="Times New Roman" w:hAnsi="Times New Roman" w:eastAsia="宋体" w:cs="Times New Roman"/>
      <w:lang w:val="en-US" w:eastAsia="zh-CN" w:bidi="ar-SA"/>
    </w:rPr>
  </w:style>
  <w:style w:type="paragraph" w:customStyle="1" w:styleId="216">
    <w:name w:val="xl61"/>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17">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b/>
      <w:bCs/>
      <w:kern w:val="0"/>
      <w:szCs w:val="21"/>
    </w:rPr>
  </w:style>
  <w:style w:type="paragraph" w:customStyle="1" w:styleId="218">
    <w:name w:val="A常用文字"/>
    <w:basedOn w:val="1"/>
    <w:qFormat/>
    <w:uiPriority w:val="99"/>
    <w:pPr>
      <w:adjustRightInd w:val="0"/>
      <w:snapToGrid w:val="0"/>
      <w:spacing w:line="440" w:lineRule="exact"/>
      <w:ind w:firstLine="567"/>
    </w:pPr>
    <w:rPr>
      <w:sz w:val="28"/>
      <w:szCs w:val="20"/>
    </w:rPr>
  </w:style>
  <w:style w:type="paragraph" w:customStyle="1" w:styleId="219">
    <w:name w:val="山焦报告正文窄"/>
    <w:basedOn w:val="220"/>
    <w:qFormat/>
    <w:uiPriority w:val="99"/>
    <w:pPr>
      <w:spacing w:beforeLines="0" w:line="400" w:lineRule="exact"/>
      <w:ind w:firstLine="480"/>
    </w:pPr>
  </w:style>
  <w:style w:type="paragraph" w:customStyle="1" w:styleId="220">
    <w:name w:val="山焦报告正文"/>
    <w:basedOn w:val="1"/>
    <w:qFormat/>
    <w:uiPriority w:val="99"/>
    <w:pPr>
      <w:adjustRightInd w:val="0"/>
      <w:snapToGrid w:val="0"/>
      <w:spacing w:beforeLines="25" w:line="440" w:lineRule="exact"/>
      <w:ind w:firstLine="200" w:firstLineChars="200"/>
    </w:pPr>
    <w:rPr>
      <w:color w:val="000000"/>
      <w:sz w:val="24"/>
    </w:rPr>
  </w:style>
  <w:style w:type="paragraph" w:customStyle="1" w:styleId="221">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222">
    <w:name w:val="xl76"/>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223">
    <w:name w:val="表1.1-1 Char Char Char Char"/>
    <w:basedOn w:val="141"/>
    <w:qFormat/>
    <w:uiPriority w:val="99"/>
    <w:pPr>
      <w:adjustRightInd w:val="0"/>
      <w:snapToGrid w:val="0"/>
      <w:spacing w:line="240" w:lineRule="auto"/>
      <w:ind w:firstLine="0" w:firstLineChars="0"/>
      <w:jc w:val="center"/>
    </w:pPr>
    <w:rPr>
      <w:rFonts w:ascii="宋体" w:hAnsi="宋体"/>
      <w:bCs/>
      <w:kern w:val="0"/>
    </w:rPr>
  </w:style>
  <w:style w:type="paragraph" w:customStyle="1" w:styleId="224">
    <w:name w:val="1"/>
    <w:basedOn w:val="1"/>
    <w:next w:val="3"/>
    <w:qFormat/>
    <w:uiPriority w:val="99"/>
    <w:pPr>
      <w:spacing w:line="500" w:lineRule="exact"/>
      <w:ind w:firstLine="567"/>
    </w:pPr>
    <w:rPr>
      <w:rFonts w:ascii="宋体" w:hAnsi="宋体"/>
      <w:kern w:val="0"/>
      <w:sz w:val="28"/>
      <w:szCs w:val="20"/>
    </w:rPr>
  </w:style>
  <w:style w:type="paragraph" w:customStyle="1" w:styleId="225">
    <w:name w:val="font6"/>
    <w:basedOn w:val="1"/>
    <w:qFormat/>
    <w:uiPriority w:val="99"/>
    <w:pPr>
      <w:widowControl/>
      <w:spacing w:before="100" w:beforeAutospacing="1" w:after="100" w:afterAutospacing="1"/>
      <w:jc w:val="left"/>
    </w:pPr>
    <w:rPr>
      <w:kern w:val="0"/>
      <w:sz w:val="24"/>
    </w:rPr>
  </w:style>
  <w:style w:type="paragraph" w:customStyle="1" w:styleId="226">
    <w:name w:val="xl44"/>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227">
    <w:name w:val="xl5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28">
    <w:name w:val="xl52"/>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29">
    <w:name w:val="孟电报告正文"/>
    <w:basedOn w:val="1"/>
    <w:qFormat/>
    <w:uiPriority w:val="99"/>
    <w:pPr>
      <w:adjustRightInd w:val="0"/>
      <w:snapToGrid w:val="0"/>
      <w:spacing w:beforeLines="25" w:line="440" w:lineRule="exact"/>
      <w:ind w:firstLine="200" w:firstLineChars="200"/>
    </w:pPr>
    <w:rPr>
      <w:color w:val="000000"/>
      <w:sz w:val="24"/>
    </w:rPr>
  </w:style>
  <w:style w:type="paragraph" w:customStyle="1" w:styleId="230">
    <w:name w:val="流程图2中"/>
    <w:basedOn w:val="1"/>
    <w:qFormat/>
    <w:uiPriority w:val="99"/>
    <w:pPr>
      <w:autoSpaceDE w:val="0"/>
      <w:autoSpaceDN w:val="0"/>
      <w:adjustRightInd w:val="0"/>
      <w:spacing w:line="320" w:lineRule="exact"/>
      <w:jc w:val="center"/>
    </w:pPr>
    <w:rPr>
      <w:b/>
      <w:color w:val="000000"/>
      <w:sz w:val="24"/>
      <w:szCs w:val="20"/>
    </w:rPr>
  </w:style>
  <w:style w:type="paragraph" w:customStyle="1" w:styleId="231">
    <w:name w:val="Char Char Char Char Char Char"/>
    <w:basedOn w:val="1"/>
    <w:qFormat/>
    <w:uiPriority w:val="99"/>
    <w:pPr>
      <w:spacing w:line="560" w:lineRule="exact"/>
      <w:ind w:firstLine="200" w:firstLineChars="200"/>
    </w:pPr>
    <w:rPr>
      <w:rFonts w:ascii="宋体" w:hAnsi="宋体" w:cs="宋体"/>
      <w:sz w:val="28"/>
      <w:szCs w:val="28"/>
    </w:rPr>
  </w:style>
  <w:style w:type="paragraph" w:customStyle="1" w:styleId="232">
    <w:name w:val="表格文字1"/>
    <w:basedOn w:val="1"/>
    <w:qFormat/>
    <w:uiPriority w:val="99"/>
    <w:pPr>
      <w:spacing w:line="360" w:lineRule="exact"/>
      <w:jc w:val="center"/>
    </w:pPr>
    <w:rPr>
      <w:b/>
      <w:szCs w:val="21"/>
    </w:rPr>
  </w:style>
  <w:style w:type="paragraph" w:customStyle="1" w:styleId="233">
    <w:name w:val="Char3"/>
    <w:basedOn w:val="1"/>
    <w:next w:val="1"/>
    <w:qFormat/>
    <w:uiPriority w:val="99"/>
    <w:pPr>
      <w:spacing w:line="360" w:lineRule="auto"/>
      <w:ind w:firstLine="200" w:firstLineChars="200"/>
    </w:pPr>
    <w:rPr>
      <w:rFonts w:ascii="宋体" w:hAnsi="宋体" w:cs="宋体"/>
      <w:sz w:val="24"/>
    </w:rPr>
  </w:style>
  <w:style w:type="paragraph" w:customStyle="1" w:styleId="234">
    <w:name w:val="表头"/>
    <w:basedOn w:val="1"/>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235">
    <w:name w:val="表头 Char"/>
    <w:basedOn w:val="141"/>
    <w:qFormat/>
    <w:uiPriority w:val="99"/>
    <w:pPr>
      <w:adjustRightInd w:val="0"/>
      <w:snapToGrid w:val="0"/>
      <w:spacing w:beforeLines="50" w:line="240" w:lineRule="auto"/>
      <w:ind w:firstLine="0" w:firstLineChars="0"/>
      <w:jc w:val="center"/>
    </w:pPr>
    <w:rPr>
      <w:rFonts w:ascii="宋体" w:hAnsi="宋体"/>
    </w:rPr>
  </w:style>
  <w:style w:type="paragraph" w:customStyle="1" w:styleId="236">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237">
    <w:name w:val="xl6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3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39">
    <w:name w:val="xl30"/>
    <w:basedOn w:val="1"/>
    <w:qFormat/>
    <w:uiPriority w:val="99"/>
    <w:pPr>
      <w:widowControl/>
      <w:spacing w:before="100" w:beforeAutospacing="1" w:after="100" w:afterAutospacing="1"/>
      <w:jc w:val="center"/>
    </w:pPr>
    <w:rPr>
      <w:rFonts w:ascii="宋体" w:hAnsi="宋体"/>
      <w:kern w:val="0"/>
      <w:sz w:val="40"/>
      <w:szCs w:val="40"/>
    </w:rPr>
  </w:style>
  <w:style w:type="paragraph" w:customStyle="1" w:styleId="240">
    <w:name w:val="正文1 Char1"/>
    <w:basedOn w:val="1"/>
    <w:qFormat/>
    <w:uiPriority w:val="99"/>
    <w:pPr>
      <w:widowControl/>
      <w:tabs>
        <w:tab w:val="left" w:pos="4660"/>
      </w:tabs>
      <w:ind w:firstLine="480" w:firstLineChars="200"/>
      <w:jc w:val="left"/>
    </w:pPr>
    <w:rPr>
      <w:rFonts w:ascii="Arial Narrow" w:hAnsi="Arial Narrow" w:cs="宋体"/>
      <w:sz w:val="24"/>
    </w:rPr>
  </w:style>
  <w:style w:type="paragraph" w:customStyle="1" w:styleId="241">
    <w:name w:val="font9"/>
    <w:basedOn w:val="1"/>
    <w:qFormat/>
    <w:uiPriority w:val="99"/>
    <w:pPr>
      <w:widowControl/>
      <w:spacing w:before="100" w:beforeAutospacing="1" w:after="100" w:afterAutospacing="1"/>
      <w:jc w:val="left"/>
    </w:pPr>
    <w:rPr>
      <w:kern w:val="0"/>
      <w:sz w:val="22"/>
      <w:szCs w:val="22"/>
    </w:rPr>
  </w:style>
  <w:style w:type="paragraph" w:customStyle="1" w:styleId="242">
    <w:name w:val="健牛正文"/>
    <w:basedOn w:val="1"/>
    <w:qFormat/>
    <w:uiPriority w:val="99"/>
    <w:pPr>
      <w:spacing w:line="480" w:lineRule="exact"/>
      <w:ind w:firstLine="560" w:firstLineChars="200"/>
    </w:pPr>
    <w:rPr>
      <w:sz w:val="28"/>
      <w:szCs w:val="28"/>
    </w:rPr>
  </w:style>
  <w:style w:type="paragraph" w:customStyle="1" w:styleId="243">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44">
    <w:name w:val="font0"/>
    <w:basedOn w:val="1"/>
    <w:qFormat/>
    <w:uiPriority w:val="99"/>
    <w:pPr>
      <w:widowControl/>
      <w:spacing w:before="100" w:beforeAutospacing="1" w:after="100" w:afterAutospacing="1"/>
      <w:jc w:val="left"/>
    </w:pPr>
    <w:rPr>
      <w:rFonts w:ascii="宋体" w:hAnsi="宋体"/>
      <w:kern w:val="0"/>
      <w:sz w:val="24"/>
    </w:rPr>
  </w:style>
  <w:style w:type="paragraph" w:customStyle="1" w:styleId="245">
    <w:name w:val="表格内文字"/>
    <w:qFormat/>
    <w:uiPriority w:val="99"/>
    <w:pPr>
      <w:spacing w:line="360" w:lineRule="exact"/>
      <w:jc w:val="center"/>
    </w:pPr>
    <w:rPr>
      <w:rFonts w:ascii="Times New Roman" w:hAnsi="Times New Roman" w:eastAsia="宋体" w:cs="Times New Roman"/>
      <w:b/>
      <w:kern w:val="2"/>
      <w:sz w:val="21"/>
      <w:szCs w:val="24"/>
      <w:lang w:val="en-US" w:eastAsia="zh-CN" w:bidi="ar-SA"/>
    </w:rPr>
  </w:style>
  <w:style w:type="paragraph" w:customStyle="1" w:styleId="246">
    <w:name w:val="xl43"/>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247">
    <w:name w:val="xl6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48">
    <w:name w:val="xl50"/>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2"/>
      <w:szCs w:val="22"/>
    </w:rPr>
  </w:style>
  <w:style w:type="paragraph" w:customStyle="1" w:styleId="249">
    <w:name w:val="样式 表内容1 + 首行缩进:  2 字符1"/>
    <w:basedOn w:val="172"/>
    <w:qFormat/>
    <w:uiPriority w:val="99"/>
    <w:pPr>
      <w:ind w:firstLineChars="0"/>
    </w:pPr>
    <w:rPr>
      <w:szCs w:val="20"/>
    </w:rPr>
  </w:style>
  <w:style w:type="paragraph" w:customStyle="1" w:styleId="250">
    <w:name w:val="3210"/>
    <w:basedOn w:val="1"/>
    <w:qFormat/>
    <w:uiPriority w:val="99"/>
    <w:pPr>
      <w:tabs>
        <w:tab w:val="left" w:pos="360"/>
      </w:tabs>
    </w:pPr>
  </w:style>
  <w:style w:type="paragraph" w:customStyle="1" w:styleId="251">
    <w:name w:val="表内容小5"/>
    <w:basedOn w:val="179"/>
    <w:qFormat/>
    <w:uiPriority w:val="99"/>
    <w:rPr>
      <w:sz w:val="18"/>
      <w:szCs w:val="18"/>
    </w:rPr>
  </w:style>
  <w:style w:type="paragraph" w:customStyle="1" w:styleId="252">
    <w:name w:val="样式 目录 2 + 左侧:  0.37 字符"/>
    <w:basedOn w:val="63"/>
    <w:qFormat/>
    <w:uiPriority w:val="99"/>
    <w:pPr>
      <w:tabs>
        <w:tab w:val="right" w:leader="dot" w:pos="9061"/>
      </w:tabs>
      <w:spacing w:line="500" w:lineRule="exact"/>
      <w:ind w:left="78" w:leftChars="37"/>
      <w:jc w:val="both"/>
    </w:pPr>
    <w:rPr>
      <w:rFonts w:cs="宋体"/>
      <w:smallCaps w:val="0"/>
      <w:sz w:val="24"/>
    </w:rPr>
  </w:style>
  <w:style w:type="paragraph" w:customStyle="1" w:styleId="253">
    <w:name w:val="xl45"/>
    <w:basedOn w:val="1"/>
    <w:qFormat/>
    <w:uiPriority w:val="99"/>
    <w:pPr>
      <w:widowControl/>
      <w:pBdr>
        <w:left w:val="single" w:color="auto" w:sz="4" w:space="0"/>
        <w:bottom w:val="single" w:color="auto" w:sz="8" w:space="0"/>
        <w:right w:val="single" w:color="auto" w:sz="8" w:space="0"/>
      </w:pBdr>
      <w:spacing w:before="100" w:beforeAutospacing="1" w:after="100" w:afterAutospacing="1"/>
      <w:jc w:val="center"/>
      <w:textAlignment w:val="bottom"/>
    </w:pPr>
    <w:rPr>
      <w:kern w:val="0"/>
      <w:sz w:val="24"/>
    </w:rPr>
  </w:style>
  <w:style w:type="paragraph" w:customStyle="1" w:styleId="254">
    <w:name w:val="xl72"/>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255">
    <w:name w:val="插图"/>
    <w:basedOn w:val="220"/>
    <w:qFormat/>
    <w:uiPriority w:val="99"/>
    <w:pPr>
      <w:spacing w:beforeLines="50" w:afterLines="50" w:line="240" w:lineRule="auto"/>
      <w:ind w:firstLine="0" w:firstLineChars="0"/>
    </w:pPr>
    <w:rPr>
      <w:b/>
      <w:kern w:val="32"/>
    </w:rPr>
  </w:style>
  <w:style w:type="paragraph" w:customStyle="1" w:styleId="256">
    <w:name w:val="内蒙官矿正文"/>
    <w:basedOn w:val="1"/>
    <w:qFormat/>
    <w:uiPriority w:val="99"/>
    <w:pPr>
      <w:spacing w:line="520" w:lineRule="exact"/>
      <w:ind w:firstLine="560" w:firstLineChars="200"/>
    </w:pPr>
    <w:rPr>
      <w:rFonts w:ascii="仿宋_GB2312" w:hAnsi="宋体" w:eastAsia="仿宋_GB2312"/>
      <w:color w:val="000000"/>
      <w:kern w:val="0"/>
      <w:sz w:val="28"/>
    </w:rPr>
  </w:style>
  <w:style w:type="paragraph" w:customStyle="1" w:styleId="257">
    <w:name w:val="新利正文"/>
    <w:basedOn w:val="1"/>
    <w:qFormat/>
    <w:uiPriority w:val="99"/>
    <w:pPr>
      <w:adjustRightInd w:val="0"/>
      <w:snapToGrid w:val="0"/>
      <w:spacing w:beforeLines="25" w:line="440" w:lineRule="exact"/>
      <w:ind w:firstLine="561" w:firstLineChars="200"/>
    </w:pPr>
    <w:rPr>
      <w:b/>
      <w:color w:val="000000"/>
      <w:sz w:val="24"/>
    </w:rPr>
  </w:style>
  <w:style w:type="paragraph" w:customStyle="1" w:styleId="258">
    <w:name w:val="li表格"/>
    <w:basedOn w:val="199"/>
    <w:next w:val="199"/>
    <w:qFormat/>
    <w:uiPriority w:val="99"/>
    <w:pPr>
      <w:adjustRightInd/>
      <w:snapToGrid/>
      <w:spacing w:line="360" w:lineRule="exact"/>
      <w:ind w:left="-103" w:leftChars="-49" w:right="-105" w:rightChars="-50" w:firstLine="1"/>
    </w:pPr>
    <w:rPr>
      <w:b/>
      <w:spacing w:val="4"/>
      <w:kern w:val="2"/>
    </w:rPr>
  </w:style>
  <w:style w:type="paragraph" w:customStyle="1" w:styleId="25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60" w:lineRule="exact"/>
      <w:ind w:firstLine="200" w:firstLineChars="200"/>
      <w:jc w:val="center"/>
    </w:pPr>
    <w:rPr>
      <w:rFonts w:ascii="宋体" w:hAnsi="宋体"/>
      <w:b/>
      <w:kern w:val="0"/>
      <w:sz w:val="20"/>
      <w:szCs w:val="20"/>
    </w:rPr>
  </w:style>
  <w:style w:type="paragraph" w:customStyle="1" w:styleId="260">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4"/>
    </w:rPr>
  </w:style>
  <w:style w:type="paragraph" w:customStyle="1" w:styleId="261">
    <w:name w:val="xl6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62">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63">
    <w:name w:val="xl55"/>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2"/>
      <w:szCs w:val="22"/>
    </w:rPr>
  </w:style>
  <w:style w:type="paragraph" w:customStyle="1" w:styleId="264">
    <w:name w:val="常用文字"/>
    <w:basedOn w:val="1"/>
    <w:qFormat/>
    <w:uiPriority w:val="99"/>
    <w:pPr>
      <w:spacing w:beforeLines="25" w:line="480" w:lineRule="exact"/>
      <w:ind w:firstLine="554" w:firstLineChars="200"/>
    </w:pPr>
    <w:rPr>
      <w:sz w:val="28"/>
      <w:szCs w:val="20"/>
    </w:rPr>
  </w:style>
  <w:style w:type="paragraph" w:customStyle="1" w:styleId="265">
    <w:name w:val="xl66"/>
    <w:basedOn w:val="1"/>
    <w:qFormat/>
    <w:uiPriority w:val="99"/>
    <w:pPr>
      <w:widowControl/>
      <w:spacing w:before="100" w:beforeAutospacing="1" w:after="100" w:afterAutospacing="1"/>
      <w:jc w:val="center"/>
      <w:textAlignment w:val="center"/>
    </w:pPr>
    <w:rPr>
      <w:rFonts w:ascii="宋体" w:hAnsi="宋体"/>
      <w:kern w:val="0"/>
      <w:sz w:val="24"/>
    </w:rPr>
  </w:style>
  <w:style w:type="paragraph" w:customStyle="1" w:styleId="266">
    <w:name w:val="附件new"/>
    <w:basedOn w:val="1"/>
    <w:qFormat/>
    <w:uiPriority w:val="99"/>
    <w:pPr>
      <w:spacing w:line="440" w:lineRule="exact"/>
      <w:ind w:left="1134" w:hanging="1134"/>
    </w:pPr>
    <w:rPr>
      <w:sz w:val="28"/>
    </w:rPr>
  </w:style>
  <w:style w:type="paragraph" w:customStyle="1" w:styleId="267">
    <w:name w:val="font11"/>
    <w:basedOn w:val="1"/>
    <w:qFormat/>
    <w:uiPriority w:val="99"/>
    <w:pPr>
      <w:widowControl/>
      <w:spacing w:before="100" w:beforeAutospacing="1" w:after="100" w:afterAutospacing="1"/>
      <w:jc w:val="left"/>
    </w:pPr>
    <w:rPr>
      <w:color w:val="008000"/>
      <w:kern w:val="0"/>
      <w:sz w:val="18"/>
      <w:szCs w:val="18"/>
    </w:rPr>
  </w:style>
  <w:style w:type="paragraph" w:customStyle="1" w:styleId="268">
    <w:name w:val="流程图"/>
    <w:basedOn w:val="1"/>
    <w:qFormat/>
    <w:uiPriority w:val="99"/>
    <w:pPr>
      <w:autoSpaceDE w:val="0"/>
      <w:autoSpaceDN w:val="0"/>
      <w:adjustRightInd w:val="0"/>
      <w:spacing w:line="320" w:lineRule="exact"/>
      <w:ind w:firstLine="200" w:firstLineChars="200"/>
      <w:jc w:val="center"/>
    </w:pPr>
    <w:rPr>
      <w:color w:val="000000"/>
      <w:sz w:val="24"/>
      <w:szCs w:val="20"/>
    </w:rPr>
  </w:style>
  <w:style w:type="paragraph" w:customStyle="1" w:styleId="269">
    <w:name w:val="font13"/>
    <w:basedOn w:val="1"/>
    <w:qFormat/>
    <w:uiPriority w:val="99"/>
    <w:pPr>
      <w:widowControl/>
      <w:spacing w:before="100" w:beforeAutospacing="1" w:after="100" w:afterAutospacing="1"/>
      <w:jc w:val="left"/>
    </w:pPr>
    <w:rPr>
      <w:color w:val="008000"/>
      <w:kern w:val="0"/>
      <w:sz w:val="20"/>
      <w:szCs w:val="20"/>
    </w:rPr>
  </w:style>
  <w:style w:type="paragraph" w:customStyle="1" w:styleId="270">
    <w:name w:val="表格文字/16"/>
    <w:basedOn w:val="199"/>
    <w:qFormat/>
    <w:uiPriority w:val="99"/>
    <w:pPr>
      <w:spacing w:line="320" w:lineRule="exact"/>
      <w:ind w:left="-103" w:leftChars="-49" w:right="-105" w:rightChars="-50" w:firstLine="1"/>
    </w:pPr>
    <w:rPr>
      <w:color w:val="000000"/>
      <w:kern w:val="32"/>
      <w:sz w:val="24"/>
    </w:rPr>
  </w:style>
  <w:style w:type="paragraph" w:customStyle="1" w:styleId="271">
    <w:name w:val="xl42"/>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272">
    <w:name w:val="镇里正文"/>
    <w:basedOn w:val="1"/>
    <w:qFormat/>
    <w:uiPriority w:val="99"/>
    <w:pPr>
      <w:ind w:right="210" w:firstLine="560" w:firstLineChars="200"/>
    </w:pPr>
    <w:rPr>
      <w:color w:val="0000FF"/>
      <w:sz w:val="28"/>
      <w:szCs w:val="32"/>
    </w:rPr>
  </w:style>
  <w:style w:type="paragraph" w:customStyle="1" w:styleId="273">
    <w:name w:val="样式 表内容1 + 首行缩进:  2 字符"/>
    <w:basedOn w:val="172"/>
    <w:qFormat/>
    <w:uiPriority w:val="99"/>
    <w:pPr>
      <w:ind w:firstLineChars="0"/>
    </w:pPr>
    <w:rPr>
      <w:szCs w:val="20"/>
    </w:rPr>
  </w:style>
  <w:style w:type="paragraph" w:customStyle="1" w:styleId="274">
    <w:name w:val="表1.1-1"/>
    <w:basedOn w:val="141"/>
    <w:qFormat/>
    <w:uiPriority w:val="99"/>
    <w:pPr>
      <w:adjustRightInd w:val="0"/>
      <w:snapToGrid w:val="0"/>
      <w:spacing w:line="240" w:lineRule="auto"/>
      <w:ind w:left="1" w:leftChars="-52" w:right="-130" w:rightChars="-62" w:hanging="110" w:hangingChars="52"/>
      <w:jc w:val="center"/>
    </w:pPr>
    <w:rPr>
      <w:bCs/>
    </w:rPr>
  </w:style>
  <w:style w:type="paragraph" w:customStyle="1" w:styleId="275">
    <w:name w:val="Char"/>
    <w:basedOn w:val="1"/>
    <w:qFormat/>
    <w:uiPriority w:val="0"/>
    <w:pPr>
      <w:spacing w:line="560" w:lineRule="exact"/>
      <w:ind w:firstLine="200" w:firstLineChars="200"/>
    </w:pPr>
    <w:rPr>
      <w:rFonts w:ascii="宋体" w:hAnsi="宋体" w:cs="宋体"/>
      <w:sz w:val="28"/>
      <w:szCs w:val="28"/>
    </w:rPr>
  </w:style>
  <w:style w:type="paragraph" w:customStyle="1" w:styleId="276">
    <w:name w:val="xl4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2"/>
      <w:szCs w:val="22"/>
    </w:rPr>
  </w:style>
  <w:style w:type="paragraph" w:customStyle="1" w:styleId="277">
    <w:name w:val="xl56"/>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sz w:val="22"/>
      <w:szCs w:val="22"/>
    </w:rPr>
  </w:style>
  <w:style w:type="paragraph" w:customStyle="1" w:styleId="278">
    <w:name w:val="li 3"/>
    <w:basedOn w:val="4"/>
    <w:next w:val="4"/>
    <w:qFormat/>
    <w:uiPriority w:val="99"/>
    <w:pPr>
      <w:spacing w:before="0" w:after="0" w:line="440" w:lineRule="exact"/>
      <w:outlineLvl w:val="2"/>
    </w:pPr>
    <w:rPr>
      <w:rFonts w:eastAsia="黑体"/>
      <w:sz w:val="24"/>
      <w:szCs w:val="24"/>
    </w:rPr>
  </w:style>
  <w:style w:type="paragraph" w:customStyle="1" w:styleId="279">
    <w:name w:val="xl65"/>
    <w:basedOn w:val="1"/>
    <w:qFormat/>
    <w:uiPriority w:val="99"/>
    <w:pPr>
      <w:widowControl/>
      <w:spacing w:before="100" w:beforeAutospacing="1" w:after="100" w:afterAutospacing="1"/>
      <w:jc w:val="center"/>
    </w:pPr>
    <w:rPr>
      <w:rFonts w:ascii="宋体" w:hAnsi="宋体"/>
      <w:kern w:val="0"/>
      <w:sz w:val="24"/>
    </w:rPr>
  </w:style>
  <w:style w:type="paragraph" w:customStyle="1" w:styleId="280">
    <w:name w:val="xl6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81">
    <w:name w:val="编号文字"/>
    <w:basedOn w:val="1"/>
    <w:qFormat/>
    <w:uiPriority w:val="99"/>
    <w:pPr>
      <w:tabs>
        <w:tab w:val="left" w:pos="1009"/>
      </w:tabs>
      <w:snapToGrid w:val="0"/>
      <w:spacing w:line="440" w:lineRule="exact"/>
      <w:ind w:firstLine="289"/>
    </w:pPr>
    <w:rPr>
      <w:kern w:val="0"/>
      <w:sz w:val="24"/>
      <w:szCs w:val="20"/>
    </w:rPr>
  </w:style>
  <w:style w:type="paragraph" w:customStyle="1" w:styleId="282">
    <w:name w:val="xl74"/>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283">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84">
    <w:name w:val="标准"/>
    <w:basedOn w:val="1"/>
    <w:qFormat/>
    <w:uiPriority w:val="99"/>
    <w:pPr>
      <w:snapToGrid w:val="0"/>
      <w:spacing w:line="240" w:lineRule="atLeast"/>
    </w:pPr>
    <w:rPr>
      <w:kern w:val="22"/>
      <w:szCs w:val="20"/>
    </w:rPr>
  </w:style>
  <w:style w:type="paragraph" w:customStyle="1" w:styleId="285">
    <w:name w:val="Char1"/>
    <w:basedOn w:val="1"/>
    <w:qFormat/>
    <w:uiPriority w:val="99"/>
    <w:rPr>
      <w:szCs w:val="20"/>
    </w:rPr>
  </w:style>
  <w:style w:type="paragraph" w:customStyle="1" w:styleId="286">
    <w:name w:val="小节标题"/>
    <w:basedOn w:val="1"/>
    <w:next w:val="1"/>
    <w:qFormat/>
    <w:uiPriority w:val="99"/>
    <w:pPr>
      <w:widowControl/>
      <w:spacing w:before="175" w:after="102" w:line="351" w:lineRule="atLeast"/>
      <w:textAlignment w:val="baseline"/>
    </w:pPr>
    <w:rPr>
      <w:rFonts w:eastAsia="黑体"/>
      <w:color w:val="000000"/>
      <w:kern w:val="0"/>
      <w:szCs w:val="20"/>
      <w:u w:color="000000"/>
    </w:rPr>
  </w:style>
  <w:style w:type="paragraph" w:customStyle="1" w:styleId="287">
    <w:name w:val="正文li"/>
    <w:basedOn w:val="135"/>
    <w:qFormat/>
    <w:uiPriority w:val="99"/>
    <w:pPr>
      <w:spacing w:line="460" w:lineRule="exact"/>
    </w:pPr>
    <w:rPr>
      <w:rFonts w:ascii="Times New Roman" w:hAnsi="Times New Roman"/>
      <w:b/>
      <w:sz w:val="24"/>
    </w:rPr>
  </w:style>
  <w:style w:type="paragraph" w:customStyle="1" w:styleId="288">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9">
    <w:name w:val="xl46"/>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textAlignment w:val="center"/>
    </w:pPr>
    <w:rPr>
      <w:kern w:val="0"/>
      <w:sz w:val="24"/>
    </w:rPr>
  </w:style>
  <w:style w:type="paragraph" w:customStyle="1" w:styleId="290">
    <w:name w:val="样式 表1.1-1 + 首行缩进:  0.74 厘米"/>
    <w:basedOn w:val="223"/>
    <w:qFormat/>
    <w:uiPriority w:val="99"/>
    <w:pPr>
      <w:tabs>
        <w:tab w:val="clear" w:pos="4660"/>
      </w:tabs>
    </w:pPr>
    <w:rPr>
      <w:bCs w:val="0"/>
      <w:szCs w:val="20"/>
    </w:rPr>
  </w:style>
  <w:style w:type="paragraph" w:customStyle="1" w:styleId="291">
    <w:name w:val="样式 表内容1 + 首行缩进:  2 字符2"/>
    <w:basedOn w:val="172"/>
    <w:qFormat/>
    <w:uiPriority w:val="99"/>
    <w:pPr>
      <w:ind w:firstLineChars="0"/>
    </w:pPr>
    <w:rPr>
      <w:szCs w:val="20"/>
    </w:rPr>
  </w:style>
  <w:style w:type="paragraph" w:customStyle="1" w:styleId="292">
    <w:name w:val="图例标题"/>
    <w:basedOn w:val="1"/>
    <w:qFormat/>
    <w:uiPriority w:val="99"/>
    <w:pPr>
      <w:jc w:val="center"/>
    </w:pPr>
    <w:rPr>
      <w:rFonts w:eastAsia="黑体"/>
      <w:sz w:val="28"/>
      <w:szCs w:val="20"/>
    </w:rPr>
  </w:style>
  <w:style w:type="paragraph" w:customStyle="1" w:styleId="293">
    <w:name w:val="Char Char Char Char Char Char Char"/>
    <w:basedOn w:val="1"/>
    <w:qFormat/>
    <w:uiPriority w:val="99"/>
    <w:rPr>
      <w:rFonts w:ascii="Tahoma" w:hAnsi="Tahoma" w:cs="仿宋_GB2312"/>
      <w:sz w:val="24"/>
      <w:szCs w:val="28"/>
    </w:rPr>
  </w:style>
  <w:style w:type="paragraph" w:customStyle="1" w:styleId="294">
    <w:name w:val="font14"/>
    <w:basedOn w:val="1"/>
    <w:qFormat/>
    <w:uiPriority w:val="99"/>
    <w:pPr>
      <w:widowControl/>
      <w:spacing w:before="100" w:beforeAutospacing="1" w:after="100" w:afterAutospacing="1"/>
      <w:jc w:val="left"/>
    </w:pPr>
    <w:rPr>
      <w:color w:val="FF0000"/>
      <w:kern w:val="0"/>
      <w:sz w:val="20"/>
      <w:szCs w:val="20"/>
    </w:rPr>
  </w:style>
  <w:style w:type="paragraph" w:customStyle="1" w:styleId="295">
    <w:name w:val="dragtable1"/>
    <w:basedOn w:val="1"/>
    <w:qFormat/>
    <w:uiPriority w:val="99"/>
    <w:pPr>
      <w:widowControl/>
      <w:pBdr>
        <w:top w:val="single" w:color="BEDDFF" w:sz="6" w:space="0"/>
        <w:left w:val="single" w:color="BEDDFF" w:sz="6" w:space="0"/>
        <w:bottom w:val="single" w:color="BEDDFF" w:sz="6" w:space="0"/>
        <w:right w:val="single" w:color="BEDDFF" w:sz="6" w:space="0"/>
      </w:pBdr>
      <w:spacing w:before="100" w:beforeAutospacing="1" w:after="150"/>
      <w:jc w:val="left"/>
    </w:pPr>
    <w:rPr>
      <w:rFonts w:ascii="宋体" w:hAnsi="宋体" w:cs="宋体"/>
      <w:kern w:val="0"/>
      <w:sz w:val="24"/>
    </w:rPr>
  </w:style>
  <w:style w:type="paragraph" w:customStyle="1" w:styleId="296">
    <w:name w:val="报告书表格"/>
    <w:basedOn w:val="1"/>
    <w:qFormat/>
    <w:uiPriority w:val="99"/>
    <w:pPr>
      <w:adjustRightInd w:val="0"/>
      <w:spacing w:before="60" w:after="60" w:line="240" w:lineRule="atLeast"/>
      <w:jc w:val="center"/>
      <w:textAlignment w:val="baseline"/>
    </w:pPr>
    <w:rPr>
      <w:kern w:val="0"/>
      <w:szCs w:val="20"/>
    </w:rPr>
  </w:style>
  <w:style w:type="paragraph" w:customStyle="1" w:styleId="297">
    <w:name w:val="Char Char Char Char"/>
    <w:basedOn w:val="1"/>
    <w:qFormat/>
    <w:uiPriority w:val="0"/>
    <w:pPr>
      <w:snapToGrid w:val="0"/>
      <w:spacing w:line="360" w:lineRule="auto"/>
      <w:ind w:firstLine="529" w:firstLineChars="200"/>
    </w:pPr>
    <w:rPr>
      <w:rFonts w:ascii="宋体" w:hAnsi="宋体"/>
      <w:b/>
    </w:rPr>
  </w:style>
  <w:style w:type="paragraph" w:customStyle="1" w:styleId="298">
    <w:name w:val="样式 目录 3 + 左侧:  4 字符"/>
    <w:basedOn w:val="39"/>
    <w:qFormat/>
    <w:uiPriority w:val="99"/>
    <w:pPr>
      <w:widowControl/>
      <w:tabs>
        <w:tab w:val="right" w:leader="dot" w:pos="9061"/>
      </w:tabs>
      <w:ind w:left="0" w:firstLine="200"/>
      <w:jc w:val="both"/>
    </w:pPr>
    <w:rPr>
      <w:rFonts w:ascii="Arial Narrow" w:hAnsi="Arial Narrow" w:cs="宋体"/>
      <w:i w:val="0"/>
      <w:iCs w:val="0"/>
      <w:sz w:val="24"/>
    </w:rPr>
  </w:style>
  <w:style w:type="paragraph" w:customStyle="1" w:styleId="299">
    <w:name w:val="11"/>
    <w:basedOn w:val="1"/>
    <w:next w:val="1"/>
    <w:qFormat/>
    <w:uiPriority w:val="99"/>
    <w:pPr>
      <w:spacing w:line="500" w:lineRule="exact"/>
      <w:ind w:firstLine="705"/>
    </w:pPr>
    <w:rPr>
      <w:rFonts w:ascii="楷体_GB2312" w:hAnsi="宋体" w:eastAsia="楷体_GB2312"/>
      <w:b/>
      <w:bCs/>
      <w:sz w:val="28"/>
    </w:rPr>
  </w:style>
  <w:style w:type="paragraph" w:customStyle="1" w:styleId="300">
    <w:name w:val="1级标题"/>
    <w:qFormat/>
    <w:uiPriority w:val="99"/>
    <w:pPr>
      <w:spacing w:beforeLines="1200" w:afterLines="600"/>
      <w:jc w:val="center"/>
      <w:outlineLvl w:val="0"/>
    </w:pPr>
    <w:rPr>
      <w:rFonts w:ascii="Times New Roman" w:hAnsi="Times New Roman" w:eastAsia="隶书" w:cs="Times New Roman"/>
      <w:b/>
      <w:kern w:val="2"/>
      <w:sz w:val="48"/>
      <w:lang w:val="en-US" w:eastAsia="zh-CN" w:bidi="ar-SA"/>
    </w:rPr>
  </w:style>
  <w:style w:type="paragraph" w:customStyle="1" w:styleId="301">
    <w:name w:val="xl51"/>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sz w:val="22"/>
      <w:szCs w:val="22"/>
    </w:rPr>
  </w:style>
  <w:style w:type="paragraph" w:customStyle="1" w:styleId="302">
    <w:name w:val="二级无标题条"/>
    <w:basedOn w:val="1"/>
    <w:qFormat/>
    <w:uiPriority w:val="99"/>
  </w:style>
  <w:style w:type="paragraph" w:customStyle="1" w:styleId="303">
    <w:name w:val="样式 1级标题 + 段前: 12 行 段后: 6 行"/>
    <w:basedOn w:val="300"/>
    <w:qFormat/>
    <w:uiPriority w:val="99"/>
    <w:pPr>
      <w:spacing w:beforeLines="0" w:afterLines="0"/>
    </w:pPr>
    <w:rPr>
      <w:rFonts w:cs="宋体"/>
      <w:bCs/>
      <w:kern w:val="0"/>
    </w:rPr>
  </w:style>
  <w:style w:type="paragraph" w:customStyle="1" w:styleId="304">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305">
    <w:name w:val="流程图4中"/>
    <w:basedOn w:val="1"/>
    <w:qFormat/>
    <w:uiPriority w:val="99"/>
    <w:pPr>
      <w:autoSpaceDE w:val="0"/>
      <w:autoSpaceDN w:val="0"/>
      <w:adjustRightInd w:val="0"/>
      <w:jc w:val="center"/>
    </w:pPr>
    <w:rPr>
      <w:b/>
      <w:color w:val="000000"/>
      <w:spacing w:val="-4"/>
      <w:sz w:val="18"/>
      <w:szCs w:val="20"/>
    </w:rPr>
  </w:style>
  <w:style w:type="paragraph" w:customStyle="1" w:styleId="306">
    <w:name w:val="表格文字9"/>
    <w:basedOn w:val="199"/>
    <w:qFormat/>
    <w:uiPriority w:val="99"/>
    <w:pPr>
      <w:spacing w:line="400" w:lineRule="exact"/>
      <w:ind w:left="-103" w:leftChars="-49" w:right="-105" w:rightChars="-50" w:firstLine="1"/>
    </w:pPr>
    <w:rPr>
      <w:color w:val="000000"/>
      <w:kern w:val="32"/>
      <w:sz w:val="18"/>
      <w:szCs w:val="20"/>
    </w:rPr>
  </w:style>
  <w:style w:type="paragraph" w:customStyle="1" w:styleId="307">
    <w:name w:val="样式5"/>
    <w:basedOn w:val="1"/>
    <w:qFormat/>
    <w:uiPriority w:val="99"/>
    <w:pPr>
      <w:widowControl/>
      <w:pBdr>
        <w:top w:val="single" w:color="auto" w:sz="4" w:space="0"/>
      </w:pBdr>
      <w:spacing w:before="100" w:beforeAutospacing="1" w:after="100" w:afterAutospacing="1"/>
      <w:jc w:val="left"/>
      <w:textAlignment w:val="top"/>
    </w:pPr>
    <w:rPr>
      <w:rFonts w:ascii="Arial Unicode MS" w:hAnsi="Arial Unicode MS" w:cs="Arial Unicode MS"/>
      <w:b/>
      <w:kern w:val="0"/>
      <w:szCs w:val="21"/>
    </w:rPr>
  </w:style>
  <w:style w:type="paragraph" w:customStyle="1" w:styleId="308">
    <w:name w:val="两渡正文"/>
    <w:basedOn w:val="40"/>
    <w:qFormat/>
    <w:uiPriority w:val="99"/>
    <w:pPr>
      <w:adjustRightInd/>
      <w:ind w:firstLine="562" w:firstLineChars="200"/>
      <w:textAlignment w:val="auto"/>
    </w:pPr>
    <w:rPr>
      <w:rFonts w:ascii="Times New Roman" w:hAnsi="宋体"/>
      <w:b/>
      <w:color w:val="0000FF"/>
      <w:kern w:val="0"/>
      <w:sz w:val="28"/>
      <w:szCs w:val="28"/>
    </w:rPr>
  </w:style>
  <w:style w:type="paragraph" w:customStyle="1" w:styleId="309">
    <w:name w:val="公式"/>
    <w:basedOn w:val="1"/>
    <w:qFormat/>
    <w:uiPriority w:val="99"/>
    <w:pPr>
      <w:spacing w:beforeLines="50" w:afterLines="50" w:line="460" w:lineRule="exact"/>
      <w:ind w:firstLine="200" w:firstLineChars="200"/>
      <w:jc w:val="center"/>
    </w:pPr>
    <w:rPr>
      <w:b/>
      <w:sz w:val="24"/>
      <w:szCs w:val="20"/>
    </w:rPr>
  </w:style>
  <w:style w:type="paragraph" w:customStyle="1" w:styleId="310">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60" w:lineRule="exact"/>
      <w:ind w:firstLine="200" w:firstLineChars="200"/>
      <w:jc w:val="center"/>
    </w:pPr>
    <w:rPr>
      <w:rFonts w:ascii="宋体" w:hAnsi="宋体"/>
      <w:b/>
      <w:kern w:val="0"/>
      <w:sz w:val="24"/>
    </w:rPr>
  </w:style>
  <w:style w:type="paragraph" w:customStyle="1" w:styleId="311">
    <w:name w:val="xl53"/>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12">
    <w:name w:val="表1.1-1 Char Char Char"/>
    <w:basedOn w:val="156"/>
    <w:qFormat/>
    <w:uiPriority w:val="99"/>
    <w:pPr>
      <w:adjustRightInd w:val="0"/>
      <w:snapToGrid w:val="0"/>
      <w:ind w:firstLine="0" w:firstLineChars="0"/>
    </w:pPr>
    <w:rPr>
      <w:bCs/>
    </w:rPr>
  </w:style>
  <w:style w:type="paragraph" w:customStyle="1" w:styleId="313">
    <w:name w:val="样式2"/>
    <w:basedOn w:val="1"/>
    <w:qFormat/>
    <w:uiPriority w:val="99"/>
    <w:pPr>
      <w:pBdr>
        <w:top w:val="thickThinSmallGap" w:color="auto" w:sz="24" w:space="1"/>
      </w:pBdr>
    </w:pPr>
  </w:style>
  <w:style w:type="paragraph" w:customStyle="1" w:styleId="314">
    <w:name w:val="样式 表内容1 + 首行缩进:  2 字符3"/>
    <w:basedOn w:val="172"/>
    <w:qFormat/>
    <w:uiPriority w:val="99"/>
    <w:pPr>
      <w:ind w:firstLineChars="0"/>
    </w:pPr>
    <w:rPr>
      <w:szCs w:val="20"/>
    </w:rPr>
  </w:style>
  <w:style w:type="paragraph" w:customStyle="1" w:styleId="315">
    <w:name w:val="表号 Char"/>
    <w:basedOn w:val="1"/>
    <w:qFormat/>
    <w:uiPriority w:val="99"/>
    <w:pPr>
      <w:snapToGrid w:val="0"/>
      <w:ind w:firstLine="480"/>
    </w:pPr>
    <w:rPr>
      <w:kern w:val="32"/>
      <w:sz w:val="24"/>
      <w:szCs w:val="20"/>
    </w:rPr>
  </w:style>
  <w:style w:type="paragraph" w:customStyle="1" w:styleId="316">
    <w:name w:val="二级标题 Char Char Char Char Char"/>
    <w:basedOn w:val="1"/>
    <w:next w:val="1"/>
    <w:qFormat/>
    <w:uiPriority w:val="99"/>
    <w:pPr>
      <w:spacing w:beforeLines="100" w:afterLines="100"/>
      <w:ind w:firstLine="200" w:firstLineChars="200"/>
    </w:pPr>
    <w:rPr>
      <w:rFonts w:ascii="宋体" w:hAnsi="宋体" w:cs="宋体"/>
      <w:sz w:val="24"/>
    </w:rPr>
  </w:style>
  <w:style w:type="paragraph" w:customStyle="1" w:styleId="317">
    <w:name w:val="xl75"/>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318">
    <w:name w:val="正文 + 首行缩进:  1.02 厘米"/>
    <w:basedOn w:val="1"/>
    <w:qFormat/>
    <w:uiPriority w:val="99"/>
    <w:pPr>
      <w:autoSpaceDE w:val="0"/>
      <w:autoSpaceDN w:val="0"/>
      <w:adjustRightInd w:val="0"/>
      <w:spacing w:before="60" w:line="520" w:lineRule="exact"/>
      <w:ind w:firstLine="576"/>
    </w:pPr>
    <w:rPr>
      <w:rFonts w:eastAsia="仿宋_GB2312"/>
      <w:sz w:val="30"/>
      <w:szCs w:val="30"/>
    </w:rPr>
  </w:style>
  <w:style w:type="paragraph" w:customStyle="1" w:styleId="319">
    <w:name w:val="表格文字9n"/>
    <w:basedOn w:val="306"/>
    <w:qFormat/>
    <w:uiPriority w:val="99"/>
    <w:pPr>
      <w:spacing w:line="260" w:lineRule="exact"/>
    </w:pPr>
  </w:style>
  <w:style w:type="paragraph" w:customStyle="1" w:styleId="320">
    <w:name w:val="xl5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21">
    <w:name w:val="流程图3右"/>
    <w:basedOn w:val="1"/>
    <w:qFormat/>
    <w:uiPriority w:val="99"/>
    <w:pPr>
      <w:autoSpaceDE w:val="0"/>
      <w:autoSpaceDN w:val="0"/>
      <w:adjustRightInd w:val="0"/>
      <w:spacing w:line="280" w:lineRule="exact"/>
      <w:jc w:val="right"/>
    </w:pPr>
    <w:rPr>
      <w:b/>
      <w:color w:val="000000"/>
      <w:szCs w:val="20"/>
    </w:rPr>
  </w:style>
  <w:style w:type="paragraph" w:customStyle="1" w:styleId="322">
    <w:name w:val="图题"/>
    <w:basedOn w:val="1"/>
    <w:qFormat/>
    <w:uiPriority w:val="99"/>
    <w:pPr>
      <w:adjustRightInd w:val="0"/>
      <w:snapToGrid w:val="0"/>
      <w:spacing w:beforeLines="25" w:line="460" w:lineRule="exact"/>
      <w:ind w:firstLine="200" w:firstLineChars="200"/>
      <w:jc w:val="center"/>
    </w:pPr>
    <w:rPr>
      <w:color w:val="000000"/>
      <w:kern w:val="32"/>
      <w:sz w:val="24"/>
      <w:szCs w:val="20"/>
    </w:rPr>
  </w:style>
  <w:style w:type="paragraph" w:customStyle="1" w:styleId="323">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324">
    <w:name w:val="xl4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25">
    <w:name w:val="表注"/>
    <w:basedOn w:val="1"/>
    <w:qFormat/>
    <w:uiPriority w:val="99"/>
    <w:pPr>
      <w:adjustRightInd w:val="0"/>
      <w:snapToGrid w:val="0"/>
      <w:spacing w:before="60" w:line="280" w:lineRule="exact"/>
      <w:ind w:firstLine="360" w:firstLineChars="200"/>
    </w:pPr>
    <w:rPr>
      <w:color w:val="000000"/>
      <w:kern w:val="32"/>
      <w:sz w:val="18"/>
    </w:rPr>
  </w:style>
  <w:style w:type="paragraph" w:customStyle="1" w:styleId="326">
    <w:name w:val="表格文字9/22"/>
    <w:basedOn w:val="306"/>
    <w:qFormat/>
    <w:uiPriority w:val="99"/>
    <w:pPr>
      <w:spacing w:line="440" w:lineRule="exact"/>
    </w:pPr>
  </w:style>
  <w:style w:type="paragraph" w:customStyle="1" w:styleId="327">
    <w:name w:val="xl63"/>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kern w:val="0"/>
      <w:sz w:val="22"/>
      <w:szCs w:val="22"/>
    </w:rPr>
  </w:style>
  <w:style w:type="paragraph" w:customStyle="1" w:styleId="328">
    <w:name w:val="表格小"/>
    <w:basedOn w:val="1"/>
    <w:qFormat/>
    <w:uiPriority w:val="99"/>
    <w:pPr>
      <w:spacing w:line="180" w:lineRule="exact"/>
      <w:jc w:val="center"/>
    </w:pPr>
    <w:rPr>
      <w:sz w:val="15"/>
    </w:rPr>
  </w:style>
  <w:style w:type="paragraph" w:customStyle="1" w:styleId="329">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2"/>
      <w:szCs w:val="22"/>
    </w:rPr>
  </w:style>
  <w:style w:type="paragraph" w:customStyle="1" w:styleId="33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331">
    <w:name w:val="宋小4+25"/>
    <w:basedOn w:val="1"/>
    <w:qFormat/>
    <w:uiPriority w:val="99"/>
    <w:pPr>
      <w:adjustRightInd w:val="0"/>
      <w:snapToGrid w:val="0"/>
      <w:spacing w:line="500" w:lineRule="exact"/>
      <w:ind w:firstLine="200" w:firstLineChars="200"/>
      <w:jc w:val="left"/>
    </w:pPr>
    <w:rPr>
      <w:sz w:val="24"/>
    </w:rPr>
  </w:style>
  <w:style w:type="character" w:customStyle="1" w:styleId="332">
    <w:name w:val="普通文字 Char"/>
    <w:qFormat/>
    <w:uiPriority w:val="99"/>
    <w:rPr>
      <w:rFonts w:ascii="宋体" w:hAnsi="Courier New" w:eastAsia="宋体"/>
      <w:kern w:val="2"/>
      <w:sz w:val="21"/>
      <w:lang w:val="en-US" w:eastAsia="zh-CN"/>
    </w:rPr>
  </w:style>
  <w:style w:type="paragraph" w:customStyle="1" w:styleId="333">
    <w:name w:val="pic-info"/>
    <w:basedOn w:val="1"/>
    <w:qFormat/>
    <w:uiPriority w:val="99"/>
    <w:pPr>
      <w:widowControl/>
      <w:spacing w:before="100" w:beforeAutospacing="1" w:after="100" w:afterAutospacing="1"/>
      <w:jc w:val="left"/>
    </w:pPr>
    <w:rPr>
      <w:rFonts w:ascii="宋体" w:hAnsi="宋体" w:cs="宋体"/>
      <w:kern w:val="0"/>
      <w:sz w:val="24"/>
    </w:rPr>
  </w:style>
  <w:style w:type="paragraph" w:customStyle="1" w:styleId="334">
    <w:name w:val="段落1"/>
    <w:basedOn w:val="1"/>
    <w:qFormat/>
    <w:uiPriority w:val="99"/>
    <w:pPr>
      <w:spacing w:line="480" w:lineRule="exact"/>
      <w:ind w:firstLine="200" w:firstLineChars="200"/>
    </w:pPr>
    <w:rPr>
      <w:rFonts w:eastAsia="楷体_GB2312"/>
      <w:spacing w:val="6"/>
      <w:sz w:val="28"/>
    </w:rPr>
  </w:style>
  <w:style w:type="paragraph" w:customStyle="1" w:styleId="335">
    <w:name w:val="表中正文居中"/>
    <w:qFormat/>
    <w:uiPriority w:val="99"/>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336">
    <w:name w:val="表格式"/>
    <w:basedOn w:val="58"/>
    <w:qFormat/>
    <w:uiPriority w:val="99"/>
    <w:pPr>
      <w:snapToGrid/>
      <w:spacing w:beforeLines="50" w:afterLines="50" w:line="240" w:lineRule="exact"/>
    </w:pPr>
    <w:rPr>
      <w:rFonts w:ascii="Times New Roman" w:hAnsi="Times New Roman"/>
      <w:color w:val="auto"/>
      <w:kern w:val="2"/>
      <w:sz w:val="21"/>
      <w:szCs w:val="20"/>
    </w:rPr>
  </w:style>
  <w:style w:type="paragraph" w:customStyle="1" w:styleId="337">
    <w:name w:val="默认段落字体 Para Char Char Char Char"/>
    <w:basedOn w:val="1"/>
    <w:qFormat/>
    <w:uiPriority w:val="99"/>
    <w:pPr>
      <w:spacing w:line="360" w:lineRule="auto"/>
      <w:ind w:firstLine="200" w:firstLineChars="200"/>
    </w:pPr>
    <w:rPr>
      <w:rFonts w:ascii="宋体" w:hAnsi="宋体" w:cs="宋体"/>
      <w:sz w:val="24"/>
    </w:rPr>
  </w:style>
  <w:style w:type="character" w:customStyle="1" w:styleId="338">
    <w:name w:val="font31"/>
    <w:qFormat/>
    <w:uiPriority w:val="0"/>
    <w:rPr>
      <w:rFonts w:ascii="MS Shell Dlg" w:hAnsi="MS Shell Dlg"/>
      <w:sz w:val="22"/>
    </w:rPr>
  </w:style>
  <w:style w:type="character" w:customStyle="1" w:styleId="339">
    <w:name w:val="headline-content2"/>
    <w:qFormat/>
    <w:uiPriority w:val="99"/>
    <w:rPr>
      <w:rFonts w:cs="Times New Roman"/>
    </w:rPr>
  </w:style>
  <w:style w:type="character" w:customStyle="1" w:styleId="340">
    <w:name w:val="hei141"/>
    <w:qFormat/>
    <w:uiPriority w:val="99"/>
    <w:rPr>
      <w:color w:val="000000"/>
      <w:sz w:val="21"/>
    </w:rPr>
  </w:style>
  <w:style w:type="paragraph" w:customStyle="1" w:styleId="341">
    <w:name w:val="Char Char Char Char1"/>
    <w:basedOn w:val="1"/>
    <w:qFormat/>
    <w:uiPriority w:val="99"/>
    <w:pPr>
      <w:snapToGrid w:val="0"/>
      <w:spacing w:line="360" w:lineRule="auto"/>
      <w:ind w:firstLine="529" w:firstLineChars="200"/>
    </w:pPr>
    <w:rPr>
      <w:rFonts w:ascii="宋体" w:hAnsi="宋体"/>
      <w:b/>
    </w:rPr>
  </w:style>
  <w:style w:type="paragraph" w:customStyle="1" w:styleId="342">
    <w:name w:val="Char2"/>
    <w:basedOn w:val="1"/>
    <w:qFormat/>
    <w:uiPriority w:val="99"/>
    <w:pPr>
      <w:snapToGrid w:val="0"/>
      <w:spacing w:line="360" w:lineRule="auto"/>
      <w:ind w:firstLine="529" w:firstLineChars="200"/>
    </w:pPr>
    <w:rPr>
      <w:rFonts w:ascii="宋体" w:hAnsi="宋体"/>
      <w:b/>
    </w:rPr>
  </w:style>
  <w:style w:type="character" w:customStyle="1" w:styleId="343">
    <w:name w:val="apple-style-span"/>
    <w:qFormat/>
    <w:uiPriority w:val="99"/>
    <w:rPr>
      <w:rFonts w:cs="Times New Roman"/>
    </w:rPr>
  </w:style>
  <w:style w:type="paragraph" w:customStyle="1" w:styleId="344">
    <w:name w:val="Char Char Char Char Char Char Char Char Char Char Char Char Char Char Char Char Char Char Char"/>
    <w:basedOn w:val="1"/>
    <w:qFormat/>
    <w:uiPriority w:val="99"/>
    <w:pPr>
      <w:adjustRightInd w:val="0"/>
      <w:spacing w:line="360" w:lineRule="auto"/>
    </w:pPr>
    <w:rPr>
      <w:kern w:val="0"/>
      <w:sz w:val="24"/>
      <w:szCs w:val="20"/>
    </w:rPr>
  </w:style>
  <w:style w:type="character" w:customStyle="1" w:styleId="345">
    <w:name w:val="apple-converted-space"/>
    <w:qFormat/>
    <w:uiPriority w:val="99"/>
    <w:rPr>
      <w:rFonts w:cs="Times New Roman"/>
    </w:rPr>
  </w:style>
  <w:style w:type="character" w:customStyle="1" w:styleId="346">
    <w:name w:val="正文 1 Char Char"/>
    <w:link w:val="347"/>
    <w:qFormat/>
    <w:uiPriority w:val="99"/>
    <w:rPr>
      <w:rFonts w:eastAsia="宋体"/>
      <w:kern w:val="2"/>
      <w:sz w:val="24"/>
      <w:lang w:val="en-US" w:eastAsia="zh-CN"/>
    </w:rPr>
  </w:style>
  <w:style w:type="paragraph" w:customStyle="1" w:styleId="347">
    <w:name w:val="正文 1"/>
    <w:basedOn w:val="1"/>
    <w:link w:val="346"/>
    <w:qFormat/>
    <w:uiPriority w:val="99"/>
    <w:pPr>
      <w:spacing w:line="440" w:lineRule="atLeast"/>
      <w:ind w:firstLine="200" w:firstLineChars="200"/>
    </w:pPr>
  </w:style>
  <w:style w:type="paragraph" w:customStyle="1" w:styleId="348">
    <w:name w:val="偶的正文"/>
    <w:basedOn w:val="75"/>
    <w:link w:val="349"/>
    <w:qFormat/>
    <w:uiPriority w:val="99"/>
    <w:pPr>
      <w:tabs>
        <w:tab w:val="left" w:pos="6300"/>
      </w:tabs>
      <w:spacing w:line="360" w:lineRule="auto"/>
      <w:ind w:firstLine="482" w:firstLineChars="200"/>
      <w:jc w:val="center"/>
    </w:pPr>
    <w:rPr>
      <w:b/>
      <w:kern w:val="0"/>
      <w:sz w:val="24"/>
    </w:rPr>
  </w:style>
  <w:style w:type="character" w:customStyle="1" w:styleId="349">
    <w:name w:val="偶的正文 Char Char"/>
    <w:link w:val="348"/>
    <w:qFormat/>
    <w:uiPriority w:val="99"/>
    <w:rPr>
      <w:rFonts w:eastAsia="宋体"/>
      <w:b/>
      <w:sz w:val="24"/>
      <w:lang w:val="en-US" w:eastAsia="zh-CN"/>
    </w:rPr>
  </w:style>
  <w:style w:type="paragraph" w:customStyle="1" w:styleId="350">
    <w:name w:val="李发荣个人正文"/>
    <w:basedOn w:val="1"/>
    <w:next w:val="1"/>
    <w:qFormat/>
    <w:uiPriority w:val="99"/>
    <w:pPr>
      <w:spacing w:line="360" w:lineRule="auto"/>
      <w:ind w:firstLine="504" w:firstLineChars="200"/>
    </w:pPr>
    <w:rPr>
      <w:rFonts w:ascii="宋体" w:hAnsi="宋体" w:cs="宋体"/>
      <w:kern w:val="0"/>
      <w:sz w:val="24"/>
    </w:rPr>
  </w:style>
  <w:style w:type="paragraph" w:customStyle="1" w:styleId="351">
    <w:name w:val="注释"/>
    <w:basedOn w:val="1"/>
    <w:link w:val="352"/>
    <w:qFormat/>
    <w:uiPriority w:val="99"/>
    <w:pPr>
      <w:adjustRightInd w:val="0"/>
      <w:snapToGrid w:val="0"/>
      <w:spacing w:line="360" w:lineRule="auto"/>
      <w:textAlignment w:val="baseline"/>
    </w:pPr>
    <w:rPr>
      <w:rFonts w:ascii="宋体"/>
      <w:spacing w:val="4"/>
      <w:kern w:val="0"/>
    </w:rPr>
  </w:style>
  <w:style w:type="character" w:customStyle="1" w:styleId="352">
    <w:name w:val="注释 Char"/>
    <w:link w:val="351"/>
    <w:qFormat/>
    <w:uiPriority w:val="99"/>
    <w:rPr>
      <w:rFonts w:ascii="宋体" w:eastAsia="宋体"/>
      <w:snapToGrid w:val="0"/>
      <w:spacing w:val="4"/>
      <w:sz w:val="24"/>
      <w:lang w:val="en-US" w:eastAsia="zh-CN"/>
    </w:rPr>
  </w:style>
  <w:style w:type="paragraph" w:customStyle="1" w:styleId="353">
    <w:name w:val="小标题"/>
    <w:basedOn w:val="1"/>
    <w:link w:val="354"/>
    <w:qFormat/>
    <w:uiPriority w:val="99"/>
    <w:pPr>
      <w:adjustRightInd w:val="0"/>
      <w:snapToGrid w:val="0"/>
      <w:spacing w:line="360" w:lineRule="auto"/>
      <w:ind w:firstLine="480" w:firstLineChars="200"/>
    </w:pPr>
    <w:rPr>
      <w:rFonts w:ascii="宋体" w:hAnsi="宋体" w:eastAsia="黑体" w:cs="宋体"/>
      <w:b/>
      <w:kern w:val="21"/>
      <w:sz w:val="24"/>
    </w:rPr>
  </w:style>
  <w:style w:type="character" w:customStyle="1" w:styleId="354">
    <w:name w:val="小标题 Char"/>
    <w:link w:val="353"/>
    <w:qFormat/>
    <w:uiPriority w:val="99"/>
    <w:rPr>
      <w:rFonts w:ascii="宋体" w:hAnsi="宋体" w:eastAsia="黑体"/>
      <w:b/>
      <w:kern w:val="21"/>
      <w:sz w:val="24"/>
      <w:lang w:val="en-US" w:eastAsia="zh-CN"/>
    </w:rPr>
  </w:style>
  <w:style w:type="paragraph" w:customStyle="1" w:styleId="355">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356">
    <w:name w:val="3"/>
    <w:basedOn w:val="1"/>
    <w:next w:val="3"/>
    <w:qFormat/>
    <w:uiPriority w:val="99"/>
    <w:pPr>
      <w:spacing w:line="360" w:lineRule="auto"/>
      <w:ind w:firstLine="480"/>
    </w:pPr>
    <w:rPr>
      <w:sz w:val="24"/>
    </w:rPr>
  </w:style>
  <w:style w:type="paragraph" w:customStyle="1" w:styleId="357">
    <w:name w:val="正文样式1"/>
    <w:basedOn w:val="1"/>
    <w:qFormat/>
    <w:uiPriority w:val="99"/>
    <w:pPr>
      <w:adjustRightInd w:val="0"/>
      <w:spacing w:line="400" w:lineRule="atLeast"/>
      <w:ind w:firstLine="454"/>
      <w:textAlignment w:val="baseline"/>
    </w:pPr>
    <w:rPr>
      <w:b/>
      <w:kern w:val="24"/>
      <w:sz w:val="24"/>
      <w:szCs w:val="20"/>
    </w:rPr>
  </w:style>
  <w:style w:type="paragraph" w:customStyle="1" w:styleId="358">
    <w:name w:val="1 Char Char Char Char Char Char Char Char"/>
    <w:basedOn w:val="1"/>
    <w:qFormat/>
    <w:uiPriority w:val="99"/>
    <w:rPr>
      <w:sz w:val="24"/>
    </w:rPr>
  </w:style>
  <w:style w:type="paragraph" w:styleId="359">
    <w:name w:val="List Paragraph"/>
    <w:basedOn w:val="1"/>
    <w:qFormat/>
    <w:uiPriority w:val="99"/>
    <w:pPr>
      <w:ind w:firstLine="420" w:firstLineChars="200"/>
    </w:pPr>
  </w:style>
  <w:style w:type="character" w:customStyle="1" w:styleId="360">
    <w:name w:val="表格文字 Char Char"/>
    <w:qFormat/>
    <w:uiPriority w:val="0"/>
    <w:rPr>
      <w:rFonts w:ascii="宋体" w:hAnsi="宋体" w:eastAsia="宋体"/>
      <w:snapToGrid/>
      <w:position w:val="-24"/>
      <w:sz w:val="21"/>
      <w:lang w:val="en-US" w:eastAsia="zh-CN"/>
    </w:rPr>
  </w:style>
  <w:style w:type="paragraph" w:customStyle="1" w:styleId="361">
    <w:name w:val="26磅正文"/>
    <w:basedOn w:val="1"/>
    <w:link w:val="362"/>
    <w:qFormat/>
    <w:uiPriority w:val="0"/>
    <w:pPr>
      <w:spacing w:line="520" w:lineRule="exact"/>
      <w:ind w:firstLine="480" w:firstLineChars="200"/>
    </w:pPr>
    <w:rPr>
      <w:rFonts w:ascii="宋体" w:hAnsi="宋体"/>
      <w:color w:val="000000"/>
      <w:sz w:val="24"/>
    </w:rPr>
  </w:style>
  <w:style w:type="character" w:customStyle="1" w:styleId="362">
    <w:name w:val="26磅正文 Char"/>
    <w:link w:val="361"/>
    <w:qFormat/>
    <w:uiPriority w:val="0"/>
    <w:rPr>
      <w:rFonts w:ascii="宋体" w:hAnsi="宋体"/>
      <w:color w:val="000000"/>
      <w:kern w:val="2"/>
      <w:sz w:val="24"/>
      <w:szCs w:val="24"/>
    </w:rPr>
  </w:style>
  <w:style w:type="paragraph" w:customStyle="1" w:styleId="363">
    <w:name w:val="Table Paragraph"/>
    <w:basedOn w:val="1"/>
    <w:qFormat/>
    <w:uiPriority w:val="1"/>
    <w:pPr>
      <w:widowControl/>
      <w:jc w:val="left"/>
    </w:pPr>
    <w:rPr>
      <w:rFonts w:ascii="Calibri" w:hAnsi="Calibri"/>
      <w:kern w:val="0"/>
      <w:sz w:val="22"/>
      <w:szCs w:val="22"/>
    </w:rPr>
  </w:style>
  <w:style w:type="character" w:customStyle="1" w:styleId="364">
    <w:name w:val="尾注文本 Char"/>
    <w:basedOn w:val="79"/>
    <w:link w:val="46"/>
    <w:qFormat/>
    <w:uiPriority w:val="0"/>
    <w:rPr>
      <w:color w:val="000000"/>
      <w:kern w:val="32"/>
      <w:sz w:val="24"/>
    </w:rPr>
  </w:style>
  <w:style w:type="character" w:customStyle="1" w:styleId="365">
    <w:name w:val="图表标题 Char Char"/>
    <w:link w:val="366"/>
    <w:qFormat/>
    <w:uiPriority w:val="0"/>
    <w:rPr>
      <w:kern w:val="2"/>
      <w:sz w:val="21"/>
      <w:szCs w:val="24"/>
    </w:rPr>
  </w:style>
  <w:style w:type="paragraph" w:customStyle="1" w:styleId="366">
    <w:name w:val="图表标题"/>
    <w:basedOn w:val="1"/>
    <w:link w:val="365"/>
    <w:qFormat/>
    <w:uiPriority w:val="0"/>
    <w:pPr>
      <w:spacing w:line="280" w:lineRule="exact"/>
      <w:jc w:val="center"/>
    </w:pPr>
  </w:style>
  <w:style w:type="character" w:customStyle="1" w:styleId="367">
    <w:name w:val="正文内容 Char Char"/>
    <w:link w:val="368"/>
    <w:qFormat/>
    <w:uiPriority w:val="0"/>
    <w:rPr>
      <w:rFonts w:eastAsia="Times New Roman"/>
      <w:kern w:val="2"/>
      <w:sz w:val="24"/>
      <w:szCs w:val="24"/>
    </w:rPr>
  </w:style>
  <w:style w:type="paragraph" w:customStyle="1" w:styleId="368">
    <w:name w:val="正文内容"/>
    <w:link w:val="367"/>
    <w:qFormat/>
    <w:uiPriority w:val="0"/>
    <w:pPr>
      <w:widowControl w:val="0"/>
      <w:snapToGrid w:val="0"/>
      <w:spacing w:before="60" w:after="60" w:line="440" w:lineRule="exact"/>
      <w:ind w:firstLine="200" w:firstLineChars="200"/>
      <w:jc w:val="both"/>
    </w:pPr>
    <w:rPr>
      <w:rFonts w:ascii="Times New Roman" w:hAnsi="Times New Roman" w:eastAsia="Times New Roman" w:cs="Times New Roman"/>
      <w:kern w:val="2"/>
      <w:sz w:val="24"/>
      <w:szCs w:val="24"/>
      <w:lang w:val="en-US" w:eastAsia="zh-CN" w:bidi="ar-SA"/>
    </w:rPr>
  </w:style>
  <w:style w:type="character" w:customStyle="1" w:styleId="369">
    <w:name w:val="表格内容5号 Char Char"/>
    <w:link w:val="370"/>
    <w:qFormat/>
    <w:uiPriority w:val="0"/>
    <w:rPr>
      <w:kern w:val="2"/>
      <w:sz w:val="21"/>
      <w:szCs w:val="24"/>
    </w:rPr>
  </w:style>
  <w:style w:type="paragraph" w:customStyle="1" w:styleId="370">
    <w:name w:val="表格内容5号"/>
    <w:link w:val="369"/>
    <w:qFormat/>
    <w:uiPriority w:val="0"/>
    <w:pPr>
      <w:widowControl w:val="0"/>
      <w:snapToGrid w:val="0"/>
      <w:spacing w:line="240" w:lineRule="atLeast"/>
      <w:jc w:val="center"/>
    </w:pPr>
    <w:rPr>
      <w:rFonts w:ascii="Times New Roman" w:hAnsi="Times New Roman" w:eastAsia="宋体" w:cs="Times New Roman"/>
      <w:kern w:val="2"/>
      <w:sz w:val="21"/>
      <w:szCs w:val="24"/>
      <w:lang w:val="en-US" w:eastAsia="zh-CN" w:bidi="ar-SA"/>
    </w:rPr>
  </w:style>
  <w:style w:type="character" w:customStyle="1" w:styleId="371">
    <w:name w:val="我的正文 Char Char"/>
    <w:link w:val="372"/>
    <w:qFormat/>
    <w:uiPriority w:val="0"/>
    <w:rPr>
      <w:kern w:val="2"/>
      <w:sz w:val="21"/>
      <w:szCs w:val="24"/>
    </w:rPr>
  </w:style>
  <w:style w:type="paragraph" w:customStyle="1" w:styleId="372">
    <w:name w:val="我的正文"/>
    <w:basedOn w:val="1"/>
    <w:link w:val="371"/>
    <w:qFormat/>
    <w:uiPriority w:val="0"/>
    <w:pPr>
      <w:adjustRightInd w:val="0"/>
      <w:snapToGrid w:val="0"/>
      <w:ind w:firstLine="200" w:firstLineChars="200"/>
    </w:pPr>
  </w:style>
  <w:style w:type="paragraph" w:customStyle="1" w:styleId="373">
    <w:name w:val="表格内2"/>
    <w:basedOn w:val="1"/>
    <w:link w:val="374"/>
    <w:qFormat/>
    <w:uiPriority w:val="0"/>
    <w:pPr>
      <w:framePr w:wrap="notBeside" w:vAnchor="text" w:hAnchor="text" w:y="1"/>
      <w:adjustRightInd w:val="0"/>
      <w:snapToGrid w:val="0"/>
      <w:jc w:val="center"/>
    </w:pPr>
    <w:rPr>
      <w:snapToGrid w:val="0"/>
      <w:kern w:val="0"/>
      <w:sz w:val="24"/>
      <w:szCs w:val="21"/>
    </w:rPr>
  </w:style>
  <w:style w:type="character" w:customStyle="1" w:styleId="374">
    <w:name w:val="表格内2 Char"/>
    <w:basedOn w:val="79"/>
    <w:link w:val="373"/>
    <w:qFormat/>
    <w:uiPriority w:val="0"/>
    <w:rPr>
      <w:snapToGrid w:val="0"/>
      <w:sz w:val="24"/>
      <w:szCs w:val="21"/>
    </w:rPr>
  </w:style>
  <w:style w:type="character" w:customStyle="1" w:styleId="375">
    <w:name w:val="正文（首行缩进两字） Char"/>
    <w:qFormat/>
    <w:uiPriority w:val="0"/>
    <w:rPr>
      <w:rFonts w:eastAsia="宋体"/>
      <w:kern w:val="2"/>
      <w:sz w:val="24"/>
      <w:lang w:val="en-US" w:eastAsia="zh-CN"/>
    </w:rPr>
  </w:style>
  <w:style w:type="paragraph" w:customStyle="1" w:styleId="376">
    <w:name w:val="Char Char1 Char Char Char Char Char Char Char Char Char Char Char Char Char Char Char Char Char Char Char Char1 Char"/>
    <w:basedOn w:val="1"/>
    <w:qFormat/>
    <w:uiPriority w:val="0"/>
    <w:pPr>
      <w:spacing w:line="360" w:lineRule="auto"/>
      <w:ind w:firstLine="200" w:firstLineChars="200"/>
    </w:pPr>
    <w:rPr>
      <w:szCs w:val="20"/>
    </w:rPr>
  </w:style>
  <w:style w:type="paragraph" w:customStyle="1" w:styleId="377">
    <w:name w:val="付正文"/>
    <w:basedOn w:val="1"/>
    <w:semiHidden/>
    <w:qFormat/>
    <w:uiPriority w:val="0"/>
    <w:pPr>
      <w:spacing w:line="360" w:lineRule="auto"/>
      <w:ind w:firstLine="200" w:firstLineChars="200"/>
    </w:pPr>
    <w:rPr>
      <w:rFonts w:ascii="宋体"/>
      <w:color w:val="000000"/>
      <w:sz w:val="24"/>
      <w:szCs w:val="21"/>
    </w:rPr>
  </w:style>
  <w:style w:type="character" w:customStyle="1" w:styleId="378">
    <w:name w:val="font71"/>
    <w:basedOn w:val="79"/>
    <w:qFormat/>
    <w:uiPriority w:val="0"/>
    <w:rPr>
      <w:rFonts w:hint="eastAsia" w:ascii="宋体" w:hAnsi="宋体" w:eastAsia="宋体" w:cs="宋体"/>
      <w:b/>
      <w:color w:val="000000"/>
      <w:sz w:val="24"/>
      <w:szCs w:val="24"/>
      <w:u w:val="none"/>
    </w:rPr>
  </w:style>
  <w:style w:type="character" w:customStyle="1" w:styleId="379">
    <w:name w:val="font81"/>
    <w:basedOn w:val="79"/>
    <w:qFormat/>
    <w:uiPriority w:val="0"/>
    <w:rPr>
      <w:rFonts w:hint="default" w:ascii="Calibri" w:hAnsi="Calibri" w:cs="Calibri"/>
      <w:b/>
      <w:color w:val="000000"/>
      <w:sz w:val="24"/>
      <w:szCs w:val="24"/>
      <w:u w:val="none"/>
    </w:rPr>
  </w:style>
  <w:style w:type="paragraph" w:customStyle="1" w:styleId="380">
    <w:name w:val="我的标题2"/>
    <w:basedOn w:val="5"/>
    <w:qFormat/>
    <w:uiPriority w:val="0"/>
    <w:pPr>
      <w:spacing w:before="60" w:after="60" w:line="460" w:lineRule="exact"/>
    </w:pPr>
    <w:rPr>
      <w:rFonts w:ascii="Cambria" w:hAnsi="Cambria" w:eastAsia="宋体"/>
      <w:sz w:val="30"/>
    </w:rPr>
  </w:style>
  <w:style w:type="paragraph" w:customStyle="1" w:styleId="381">
    <w:name w:val="表"/>
    <w:basedOn w:val="1"/>
    <w:qFormat/>
    <w:uiPriority w:val="0"/>
    <w:pPr>
      <w:snapToGrid w:val="0"/>
      <w:jc w:val="center"/>
    </w:pPr>
    <w:rPr>
      <w:spacing w:val="2"/>
      <w:szCs w:val="20"/>
    </w:rPr>
  </w:style>
  <w:style w:type="paragraph" w:customStyle="1" w:styleId="382">
    <w:name w:val="无间隔1"/>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383">
    <w:name w:val="表格样式1"/>
    <w:basedOn w:val="1"/>
    <w:qFormat/>
    <w:uiPriority w:val="0"/>
    <w:pPr>
      <w:adjustRightInd w:val="0"/>
      <w:snapToGrid w:val="0"/>
      <w:jc w:val="center"/>
    </w:pPr>
    <w:rPr>
      <w:rFonts w:eastAsia="楷体_GB2312"/>
      <w:sz w:val="24"/>
      <w:szCs w:val="21"/>
    </w:rPr>
  </w:style>
  <w:style w:type="paragraph" w:customStyle="1" w:styleId="384">
    <w:name w:val="5文章(治)"/>
    <w:basedOn w:val="1"/>
    <w:qFormat/>
    <w:uiPriority w:val="0"/>
    <w:pPr>
      <w:spacing w:line="300" w:lineRule="exact"/>
      <w:jc w:val="center"/>
    </w:pPr>
    <w:rPr>
      <w:rFonts w:ascii="宋体" w:hAnsi="宋体"/>
      <w:szCs w:val="21"/>
    </w:rPr>
  </w:style>
  <w:style w:type="paragraph" w:customStyle="1" w:styleId="385">
    <w:name w:val="盂县"/>
    <w:basedOn w:val="1"/>
    <w:qFormat/>
    <w:uiPriority w:val="0"/>
    <w:pPr>
      <w:adjustRightInd w:val="0"/>
      <w:snapToGrid w:val="0"/>
      <w:spacing w:line="312" w:lineRule="auto"/>
      <w:ind w:firstLine="560" w:firstLineChars="200"/>
    </w:pPr>
    <w:rPr>
      <w:sz w:val="28"/>
    </w:rPr>
  </w:style>
  <w:style w:type="character" w:customStyle="1" w:styleId="386">
    <w:name w:val="0正文 Char"/>
    <w:qFormat/>
    <w:uiPriority w:val="0"/>
    <w:rPr>
      <w:rFonts w:ascii="Times New Roman" w:hAnsi="Times New Roman" w:eastAsia="宋体" w:cs="Times New Roman"/>
      <w:kern w:val="2"/>
      <w:sz w:val="24"/>
    </w:rPr>
  </w:style>
  <w:style w:type="paragraph" w:customStyle="1" w:styleId="387">
    <w:name w:val="正文_14"/>
    <w:qFormat/>
    <w:uiPriority w:val="0"/>
    <w:pPr>
      <w:widowControl w:val="0"/>
      <w:jc w:val="both"/>
    </w:pPr>
    <w:rPr>
      <w:rFonts w:ascii="Calibri" w:hAnsi="Calibri" w:eastAsia="宋体" w:cs="Times New Roman"/>
      <w:kern w:val="2"/>
      <w:sz w:val="21"/>
      <w:lang w:val="en-US" w:eastAsia="zh-CN" w:bidi="ar-SA"/>
    </w:rPr>
  </w:style>
  <w:style w:type="paragraph" w:customStyle="1" w:styleId="388">
    <w:name w:val="表格(新)"/>
    <w:basedOn w:val="1"/>
    <w:qFormat/>
    <w:uiPriority w:val="0"/>
    <w:pPr>
      <w:widowControl w:val="0"/>
      <w:adjustRightInd/>
      <w:snapToGrid/>
      <w:jc w:val="center"/>
    </w:pPr>
    <w:rPr>
      <w:rFonts w:ascii="Times New Roman" w:hAnsi="Times New Roman" w:cs="Times New Roman"/>
      <w:kern w:val="24"/>
      <w:sz w:val="21"/>
      <w:szCs w:val="21"/>
    </w:rPr>
  </w:style>
  <w:style w:type="paragraph" w:customStyle="1" w:styleId="389">
    <w:name w:val="报告正文"/>
    <w:basedOn w:val="1"/>
    <w:next w:val="1"/>
    <w:qFormat/>
    <w:uiPriority w:val="0"/>
    <w:pPr>
      <w:spacing w:line="360" w:lineRule="auto"/>
      <w:ind w:firstLine="200" w:firstLineChars="200"/>
    </w:pPr>
    <w:rPr>
      <w:rFonts w:asciiTheme="minorHAnsi" w:hAnsiTheme="minorHAnsi"/>
      <w:sz w:val="24"/>
      <w:szCs w:val="24"/>
    </w:rPr>
  </w:style>
  <w:style w:type="paragraph" w:customStyle="1" w:styleId="390">
    <w:name w:val="正文小四首缩1.3行距"/>
    <w:basedOn w:val="1"/>
    <w:qFormat/>
    <w:uiPriority w:val="0"/>
    <w:pPr>
      <w:spacing w:line="312" w:lineRule="auto"/>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41.png"/><Relationship Id="rId7" Type="http://schemas.openxmlformats.org/officeDocument/2006/relationships/footer" Target="footer2.xml"/><Relationship Id="rId69" Type="http://schemas.openxmlformats.org/officeDocument/2006/relationships/image" Target="media/image40.wmf"/><Relationship Id="rId68" Type="http://schemas.openxmlformats.org/officeDocument/2006/relationships/oleObject" Target="embeddings/oleObject3.bin"/><Relationship Id="rId67" Type="http://schemas.openxmlformats.org/officeDocument/2006/relationships/image" Target="media/image39.wmf"/><Relationship Id="rId66" Type="http://schemas.openxmlformats.org/officeDocument/2006/relationships/oleObject" Target="embeddings/oleObject2.bin"/><Relationship Id="rId65" Type="http://schemas.openxmlformats.org/officeDocument/2006/relationships/image" Target="media/image38.wmf"/><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3.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jpeg"/><Relationship Id="rId56" Type="http://schemas.openxmlformats.org/officeDocument/2006/relationships/image" Target="media/image29.jpe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wmf"/><Relationship Id="rId51" Type="http://schemas.openxmlformats.org/officeDocument/2006/relationships/image" Target="media/image24.wmf"/><Relationship Id="rId50" Type="http://schemas.openxmlformats.org/officeDocument/2006/relationships/image" Target="media/image23.wmf"/><Relationship Id="rId5" Type="http://schemas.openxmlformats.org/officeDocument/2006/relationships/footer" Target="footer1.xml"/><Relationship Id="rId49" Type="http://schemas.openxmlformats.org/officeDocument/2006/relationships/image" Target="media/image22.wmf"/><Relationship Id="rId48" Type="http://schemas.openxmlformats.org/officeDocument/2006/relationships/image" Target="media/image21.wmf"/><Relationship Id="rId47" Type="http://schemas.openxmlformats.org/officeDocument/2006/relationships/image" Target="media/image20.wmf"/><Relationship Id="rId46" Type="http://schemas.openxmlformats.org/officeDocument/2006/relationships/image" Target="media/image19.wmf"/><Relationship Id="rId45" Type="http://schemas.openxmlformats.org/officeDocument/2006/relationships/image" Target="media/image18.wmf"/><Relationship Id="rId44" Type="http://schemas.openxmlformats.org/officeDocument/2006/relationships/image" Target="media/image17.wmf"/><Relationship Id="rId43" Type="http://schemas.openxmlformats.org/officeDocument/2006/relationships/image" Target="media/image16.wmf"/><Relationship Id="rId42" Type="http://schemas.openxmlformats.org/officeDocument/2006/relationships/image" Target="media/image15.wmf"/><Relationship Id="rId41" Type="http://schemas.openxmlformats.org/officeDocument/2006/relationships/image" Target="media/image14.wmf"/><Relationship Id="rId40" Type="http://schemas.openxmlformats.org/officeDocument/2006/relationships/image" Target="media/image13.wmf"/><Relationship Id="rId4" Type="http://schemas.openxmlformats.org/officeDocument/2006/relationships/header" Target="header2.xml"/><Relationship Id="rId39" Type="http://schemas.openxmlformats.org/officeDocument/2006/relationships/image" Target="media/image12.wmf"/><Relationship Id="rId38" Type="http://schemas.openxmlformats.org/officeDocument/2006/relationships/image" Target="media/image11.wmf"/><Relationship Id="rId37" Type="http://schemas.openxmlformats.org/officeDocument/2006/relationships/image" Target="media/image10.wmf"/><Relationship Id="rId36" Type="http://schemas.openxmlformats.org/officeDocument/2006/relationships/image" Target="media/image9.wmf"/><Relationship Id="rId35" Type="http://schemas.openxmlformats.org/officeDocument/2006/relationships/image" Target="media/image8.wmf"/><Relationship Id="rId34" Type="http://schemas.openxmlformats.org/officeDocument/2006/relationships/image" Target="media/image7.wmf"/><Relationship Id="rId33" Type="http://schemas.openxmlformats.org/officeDocument/2006/relationships/image" Target="media/image6.wmf"/><Relationship Id="rId32" Type="http://schemas.openxmlformats.org/officeDocument/2006/relationships/image" Target="media/image5.wmf"/><Relationship Id="rId31" Type="http://schemas.openxmlformats.org/officeDocument/2006/relationships/image" Target="media/image4.wmf"/><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1.bin"/><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3075"/>
    <customShpInfo spid="_x0000_s3077"/>
    <customShpInfo spid="_x0000_s3078"/>
    <customShpInfo spid="_x0000_s3079"/>
    <customShpInfo spid="_x0000_s3080"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50"/>
    <customShpInfo spid="_x0000_s2073"/>
    <customShpInfo spid="_x0000_s2090"/>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092"/>
    <customShpInfo spid="_x0000_s2124"/>
    <customShpInfo spid="_x0000_s2091"/>
    <customShpInfo spid="_x0000_s2125"/>
    <customShpInfo spid="_x0000_s2128"/>
    <customShpInfo spid="_x0000_s2129"/>
    <customShpInfo spid="_x0000_s2130"/>
    <customShpInfo spid="_x0000_s2131"/>
    <customShpInfo spid="_x0000_s2127"/>
    <customShpInfo spid="_x0000_s2132"/>
    <customShpInfo spid="_x0000_s2126"/>
    <customShpInfo spid="_x0000_s2133"/>
    <customShpInfo spid="_x0000_s2134"/>
    <customShpInfo spid="_x0000_s2135"/>
    <customShpInfo spid="_x0000_s2136"/>
    <customShpInfo spid="_x0000_s2137"/>
    <customShpInfo spid="_x0000_s2138"/>
    <customShpInfo spid="_x0000_s2194"/>
    <customShpInfo spid="_x0000_s21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18B79E-132A-4CE5-8D15-0DDE6E762D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45477</Words>
  <Characters>54453</Characters>
  <Lines>388</Lines>
  <Paragraphs>109</Paragraphs>
  <TotalTime>1</TotalTime>
  <ScaleCrop>false</ScaleCrop>
  <LinksUpToDate>false</LinksUpToDate>
  <CharactersWithSpaces>54742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2018-10-29T13:41:00Z</dcterms:created>
  <dc:creator>Administrator</dc:creator>
  <cp:lastModifiedBy>左</cp:lastModifiedBy>
  <cp:lastPrinted>2021-01-11T00:40:00Z</cp:lastPrinted>
  <dcterms:modified xsi:type="dcterms:W3CDTF">2021-08-04T08:22:14Z</dcterms:modified>
  <dc:title>建设项目环境影响报告表</dc:title>
  <cp:revision>232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MTWinEqns">
    <vt:bool>true</vt:bool>
  </property>
  <property fmtid="{D5CDD505-2E9C-101B-9397-08002B2CF9AE}" pid="4" name="ICV">
    <vt:lpwstr>C371A722672B4CB8A12673ACBD83E0F0</vt:lpwstr>
  </property>
</Properties>
</file>