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
        <w:gridCol w:w="1314"/>
        <w:gridCol w:w="4425"/>
        <w:gridCol w:w="4394"/>
        <w:gridCol w:w="1670"/>
        <w:gridCol w:w="1091"/>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5000" w:type="pct"/>
            <w:gridSpan w:val="7"/>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_GBK" w:hAnsi="方正小标宋_GBK" w:eastAsia="方正小标宋_GBK" w:cs="方正小标宋_GBK"/>
                <w:i w:val="0"/>
                <w:iCs w:val="0"/>
                <w:color w:val="000000"/>
                <w:sz w:val="50"/>
                <w:szCs w:val="50"/>
                <w:u w:val="none"/>
              </w:rPr>
            </w:pPr>
            <w:bookmarkStart w:id="0" w:name="_GoBack"/>
            <w:r>
              <w:rPr>
                <w:rFonts w:hint="eastAsia" w:ascii="方正小标宋简体" w:hAnsi="方正小标宋简体" w:eastAsia="方正小标宋简体" w:cs="方正小标宋简体"/>
                <w:i w:val="0"/>
                <w:iCs w:val="0"/>
                <w:color w:val="000000"/>
                <w:kern w:val="0"/>
                <w:sz w:val="44"/>
                <w:szCs w:val="44"/>
                <w:u w:val="none"/>
                <w:lang w:val="en-US" w:eastAsia="zh-CN" w:bidi="ar"/>
              </w:rPr>
              <w:t>繁峙县乡（镇）综合行政执法事项清单（第二批）</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权利</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类型</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事项名称</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设立依据</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县级指导</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部门</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执法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主体</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备</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对占用耕地建窑 、 建坟或者擅自在耕地上建房、挖砂、采石、采矿、取土等破坏种植条件的行为的处罚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第七十五条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spacing w:val="-23"/>
                <w:kern w:val="0"/>
                <w:sz w:val="28"/>
                <w:szCs w:val="28"/>
                <w:u w:val="none"/>
                <w:lang w:val="en-US" w:eastAsia="zh-CN" w:bidi="ar"/>
              </w:rPr>
              <w:t>县自然资源局</w:t>
            </w:r>
            <w:r>
              <w:rPr>
                <w:rFonts w:hint="eastAsia" w:ascii="仿宋_GB2312" w:hAnsi="宋体" w:eastAsia="仿宋_GB2312" w:cs="仿宋_GB2312"/>
                <w:i w:val="0"/>
                <w:iCs w:val="0"/>
                <w:color w:val="000000"/>
                <w:spacing w:val="-23"/>
                <w:kern w:val="0"/>
                <w:sz w:val="28"/>
                <w:szCs w:val="28"/>
                <w:u w:val="none"/>
                <w:lang w:val="en-US" w:eastAsia="zh-CN" w:bidi="ar"/>
              </w:rPr>
              <w:br w:type="textWrapping"/>
            </w:r>
            <w:r>
              <w:rPr>
                <w:rFonts w:hint="eastAsia" w:ascii="仿宋_GB2312" w:hAnsi="宋体" w:eastAsia="仿宋_GB2312" w:cs="仿宋_GB2312"/>
                <w:i w:val="0"/>
                <w:iCs w:val="0"/>
                <w:color w:val="000000"/>
                <w:spacing w:val="-23"/>
                <w:kern w:val="0"/>
                <w:sz w:val="28"/>
                <w:szCs w:val="28"/>
                <w:u w:val="none"/>
                <w:lang w:val="en-US" w:eastAsia="zh-CN" w:bidi="ar"/>
              </w:rPr>
              <w:t>县农业农村局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对畜禽养殖废弃物未进行综合利用和无害化处理的行为的处罚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《畜禽规模养殖污染防治条例》（国务院令第643号）第三十九条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市生态环境局繁峙分局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对露天焚烧秸秆、落叶等产生烟尘污染物质行为的处罚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《中华人民共和国大气污染防治法》第一百一十九条</w:t>
            </w:r>
            <w:r>
              <w:rPr>
                <w:rStyle w:val="8"/>
                <w:rFonts w:eastAsia="仿宋_GB2312"/>
                <w:lang w:val="en-US" w:eastAsia="zh-CN" w:bidi="ar"/>
              </w:rPr>
              <w:t>  </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市生态环境局繁峙分局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对在饮用水水源保护区内设置排污口的行为的处罚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《中华人民共和国水污染防治法》 第八十四条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市生态环境局繁峙分局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对在人口集中地区和其他依法需要特殊保护的区域内， 焚烧沥青、 油毡、橡胶、塑料、皮革、垃圾以及其他产生有毒有害烟尘和恶臭气体的物质的行为的处罚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《中华人民共和国大气污染防治法》 第一百一十九条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市生态环境局繁峙分局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7"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《中华人民共和国大气污染防治法》第一百零七条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市生态环境局繁峙分局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对从事畜禽规模养殖未及时收集、贮存、利用或者处置养殖过程中产生的畜禽粪污等固体废物的行为的处罚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《中华人民共和国固体废物污染环境防治法》第一百零七条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市生态环境局繁峙分局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对未经业主大会同意，物业服务企业擅自改变物业管理用房用途的行为的处罚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《物业管理条例》（国务院令第698号）第六十二条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县住建局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2"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对擅自改变物业管理区域内公共建筑和共用设施用途的行为的处罚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《物业管理条例》（国务院令第698号）第六十三条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县住建局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对公共场所随地吐痰的行为的处罚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《山西省禁止公共场所随地吐痰的规定》（2020年5月15日山西省第十三届人大常委会第十八次会议通过）第十五条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县住建局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对随意倾倒、抛洒、堆放或者焚烧生活垃圾的行为的处罚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《中华人民共和国固体废物污染环境防治法》第一百一十一条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县住建局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对搭建、堆放、吊挂影响城镇容貌的物品的行为的处罚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《城市市容和环境卫生管理条例》（国务院令第101号）第三十四条</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《山西省城乡环境综合治理条例》（2017年7月4日山西省第十二届人大常委会第三十九次会议通过）第五十九条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县住建局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对在城镇道路、建筑物、构筑物、树木、市政及其他设施上涂写、刻画，擅自张贴广告、墙报、标语和海报等宣传品的行为的处罚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《城市市容和环境卫生管理条例》（国务院令第101号）第三十四条</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《山西省城乡环境综合治理条例》（2017年7月4日山西省第十二届人大常委会第三十九次会议通过）第五十九条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县住建局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5"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对在城市住宅小区内饲养家禽、家畜的，或者饲养宠物影响环境卫生的行为的处罚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《城市市容和环境卫生管理条例》（国务院令第101号）第三十五条</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《山西省城乡环境综合治理条例》（2017年7月4日山西省第十二届人大常委会第三十九次会议通过）第六十二条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县住建局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3"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对道路运输相关业务经营者未按规定备案的行为的处罚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《山西省道路运输条例》 （2010年9月29日山西省第十一届人民代表大会常务委员会第十九次会议通过，2019年修正）第六十六条 </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县交运局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16</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对造成公路路面损坏、污染或者影响公路畅通的行为的处罚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《中华人民共和国公路法》第四十六条、第七十七条 </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县交运局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17</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对未经批准在河道管理范围内采砂的行为的处罚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《中华人民共和国河道管理条例》 （1988年国务院令第3号，2018年修订）第四十四条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县水利局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18</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对农村村民未经批准或者采取欺骗手段骗取批准，非法占用土地建住宅的行为的处罚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《中华人民共和国土地管理法》第七十八条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农村局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19</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对农产品生产企业、农民专业合作经济组织未建立或者未按照规定保存农产品生产记录，或者伪造农产品生产记录的行为的处罚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《中华人民共和国农产品质量安全法》第二十四条、第四十七条、第五十二条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农村局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20</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对销售的农产品未按照规定进行包装、标识的行为的处罚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《中华人民共和国农产品质量安全法》第二十八条、第四十八条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农村局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21</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对生产、销售未取得登记证的肥料产品的行为的处罚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《肥料登记管理办法》 （2000年农业部令第32号公布，2022年农业农村部令2022年第1号修订）第二十六条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农村局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22</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对农药经营者未取得农药经营许可证经营农药的行为的处罚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《农药管理条例》 （1997年国务院令第216号，2022年修订）</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第五十五条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农村局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8"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23</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对销售种子应当包装而没有包装的行为的处罚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第七十九条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农村局</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县林业局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24</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对本辖区违反规定野外用火的行为的处罚</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《山西省人民代表大会常务委员会关于禁止野外用火的决定》 （2020年5月15日山西省第十三届人民代表大会常务委员会第十八次会议通过） 第十四条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县林业局</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2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25</w:t>
            </w:r>
          </w:p>
        </w:tc>
        <w:tc>
          <w:tcPr>
            <w:tcW w:w="46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处罚</w:t>
            </w:r>
          </w:p>
        </w:tc>
        <w:tc>
          <w:tcPr>
            <w:tcW w:w="15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对在文物建筑保护范围内吸烟 、燃放烟花爆竹、点放孔明灯等使用明火行为的处罚（依法适用简易程序的）</w:t>
            </w:r>
          </w:p>
        </w:tc>
        <w:tc>
          <w:tcPr>
            <w:tcW w:w="1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《中华人民共和国消防法》第六十三条</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《山西省文物建筑消防安全管理规定》（山西省人民政府令第281号）第二十四条、第三十四条</w:t>
            </w: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县消防救援</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大队</w:t>
            </w: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3366FF"/>
                <w:sz w:val="24"/>
                <w:szCs w:val="24"/>
                <w:u w:val="none"/>
              </w:rPr>
            </w:pPr>
          </w:p>
        </w:tc>
      </w:tr>
    </w:tbl>
    <w:p>
      <w:pPr>
        <w:pStyle w:val="2"/>
        <w:rPr>
          <w:rFonts w:hint="default"/>
          <w:lang w:val="en-US"/>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72983B6E"/>
    <w:rsid w:val="7298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left="200" w:leftChars="200"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91"/>
    <w:basedOn w:val="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2022-12-16T05:49:00Z</dcterms:created>
  <dc:creator>左</dc:creator>
  <cp:lastModifiedBy>左</cp:lastModifiedBy>
  <dcterms:modified xsi:type="dcterms:W3CDTF">2022-12-16T05:50:11Z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CEB61AD016C94AB291AD5B2BC661734B</vt:lpwstr>
  </property>
</Properties>
</file>